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B394" w14:textId="77777777" w:rsidR="00F450F8" w:rsidRDefault="00000000">
      <w:pPr>
        <w:spacing w:after="120"/>
        <w:jc w:val="center"/>
      </w:pPr>
      <w:proofErr w:type="spellStart"/>
      <w:r>
        <w:rPr>
          <w:rFonts w:cs="Arial"/>
          <w:b/>
          <w:bCs/>
          <w:sz w:val="32"/>
          <w:szCs w:val="32"/>
        </w:rPr>
        <w:t>ParCC</w:t>
      </w:r>
      <w:proofErr w:type="spellEnd"/>
      <w:r>
        <w:rPr>
          <w:rFonts w:cs="Arial"/>
          <w:b/>
          <w:bCs/>
          <w:sz w:val="32"/>
          <w:szCs w:val="32"/>
        </w:rPr>
        <w:t>: An Integrated Web-Based Platform for Parameter Conversion,</w:t>
      </w:r>
    </w:p>
    <w:p w14:paraId="10B71EDE" w14:textId="77777777" w:rsidR="00F450F8" w:rsidRDefault="00000000">
      <w:pPr>
        <w:spacing w:after="120"/>
        <w:jc w:val="center"/>
      </w:pPr>
      <w:r>
        <w:rPr>
          <w:rFonts w:cs="Arial"/>
          <w:b/>
          <w:bCs/>
          <w:sz w:val="32"/>
          <w:szCs w:val="32"/>
        </w:rPr>
        <w:t>Economic Analysis, and Methodological Training in</w:t>
      </w:r>
    </w:p>
    <w:p w14:paraId="5C27E5EA" w14:textId="77777777" w:rsidR="00F450F8" w:rsidRDefault="00000000">
      <w:pPr>
        <w:spacing w:after="120"/>
        <w:jc w:val="center"/>
      </w:pPr>
      <w:r>
        <w:rPr>
          <w:rFonts w:cs="Arial"/>
          <w:b/>
          <w:bCs/>
          <w:sz w:val="32"/>
          <w:szCs w:val="32"/>
        </w:rPr>
        <w:t>Health Technology Assessment</w:t>
      </w:r>
    </w:p>
    <w:p w14:paraId="01AC35DA" w14:textId="77777777" w:rsidR="00F450F8" w:rsidRDefault="00F450F8">
      <w:pPr>
        <w:spacing w:after="200"/>
      </w:pPr>
    </w:p>
    <w:p w14:paraId="469A98A1" w14:textId="77777777" w:rsidR="00F450F8" w:rsidRDefault="00000000">
      <w:pPr>
        <w:spacing w:after="120"/>
        <w:jc w:val="center"/>
      </w:pPr>
      <w:r>
        <w:rPr>
          <w:rFonts w:cs="Arial"/>
        </w:rPr>
        <w:t>Tool Description - Version 1.4</w:t>
      </w:r>
    </w:p>
    <w:p w14:paraId="33DE2751" w14:textId="77777777" w:rsidR="00F450F8" w:rsidRDefault="00F450F8">
      <w:pPr>
        <w:spacing w:after="200"/>
      </w:pPr>
    </w:p>
    <w:p w14:paraId="6C971C33" w14:textId="77777777" w:rsidR="00F450F8" w:rsidRDefault="00000000">
      <w:pPr>
        <w:spacing w:after="120"/>
        <w:jc w:val="center"/>
      </w:pPr>
      <w:r>
        <w:rPr>
          <w:rFonts w:cs="Arial"/>
        </w:rPr>
        <w:t>Regional Resource Centre for Health Technology Assessment</w:t>
      </w:r>
    </w:p>
    <w:p w14:paraId="7C21BF31" w14:textId="77777777" w:rsidR="00F450F8" w:rsidRDefault="00000000">
      <w:pPr>
        <w:spacing w:after="120"/>
        <w:jc w:val="center"/>
      </w:pPr>
      <w:r>
        <w:rPr>
          <w:rFonts w:cs="Arial"/>
        </w:rPr>
        <w:t>All India Institute of Medical Sciences, Bhopal</w:t>
      </w:r>
    </w:p>
    <w:p w14:paraId="35B0C5F2" w14:textId="77777777" w:rsidR="00F450F8" w:rsidRDefault="00000000">
      <w:pPr>
        <w:spacing w:after="120"/>
        <w:jc w:val="center"/>
      </w:pPr>
      <w:r>
        <w:rPr>
          <w:rFonts w:cs="Arial"/>
          <w:sz w:val="22"/>
          <w:szCs w:val="22"/>
        </w:rPr>
        <w:t xml:space="preserve">Under the aegis of </w:t>
      </w:r>
      <w:proofErr w:type="spellStart"/>
      <w:r>
        <w:rPr>
          <w:rFonts w:cs="Arial"/>
          <w:sz w:val="22"/>
          <w:szCs w:val="22"/>
        </w:rPr>
        <w:t>HTAIn</w:t>
      </w:r>
      <w:proofErr w:type="spellEnd"/>
      <w:r>
        <w:rPr>
          <w:rFonts w:cs="Arial"/>
          <w:sz w:val="22"/>
          <w:szCs w:val="22"/>
        </w:rPr>
        <w:t xml:space="preserve">, DHR, </w:t>
      </w:r>
      <w:proofErr w:type="spellStart"/>
      <w:r>
        <w:rPr>
          <w:rFonts w:cs="Arial"/>
          <w:sz w:val="22"/>
          <w:szCs w:val="22"/>
        </w:rPr>
        <w:t>MoHFW</w:t>
      </w:r>
      <w:proofErr w:type="spellEnd"/>
      <w:r>
        <w:rPr>
          <w:rFonts w:cs="Arial"/>
          <w:sz w:val="22"/>
          <w:szCs w:val="22"/>
        </w:rPr>
        <w:t>, Government of India</w:t>
      </w:r>
    </w:p>
    <w:p w14:paraId="59A6943A" w14:textId="77777777" w:rsidR="00F450F8" w:rsidRDefault="00000000">
      <w:r>
        <w:br w:type="page"/>
      </w:r>
    </w:p>
    <w:p w14:paraId="66916190" w14:textId="77777777" w:rsidR="00F450F8" w:rsidRDefault="00000000">
      <w:pPr>
        <w:pStyle w:val="Heading1"/>
      </w:pPr>
      <w:r>
        <w:lastRenderedPageBreak/>
        <w:t>ABSTRACT</w:t>
      </w:r>
    </w:p>
    <w:p w14:paraId="7258D21D" w14:textId="77777777" w:rsidR="00F450F8" w:rsidRDefault="00000000">
      <w:pPr>
        <w:spacing w:after="200" w:line="276" w:lineRule="auto"/>
        <w:jc w:val="both"/>
      </w:pPr>
      <w:r>
        <w:rPr>
          <w:rFonts w:cs="Arial"/>
          <w:b/>
          <w:bCs/>
        </w:rPr>
        <w:t>Background:</w:t>
      </w:r>
      <w:r>
        <w:rPr>
          <w:rFonts w:cs="Arial"/>
        </w:rPr>
        <w:t xml:space="preserve"> Constructing health economic models requires translating clinical evidence into mathematical parameters suitable for decision analysis. Published studies report rates, hazard ratios, odds ratios, and Kaplan-Meier curves, whereas decision models require transition probabilities, parametric survival functions, and distributional parameters for probabilistic sensitivity analysis. These conversions are typically performed manually across multiple software environments, fragmenting the analytical workflow, introducing transcription errors, and leaving an incomplete documentation trail. The problem is compounded in resource-limited settings where commercial modelling software is inaccessible and formal training in HTA methods may be limited. Additionally, cross-country cost transferability requires careful handling of purchasing power differences, and payers increasingly demand budget impact analyses alongside cost-effectiveness evidence.</w:t>
      </w:r>
    </w:p>
    <w:p w14:paraId="54818597" w14:textId="77777777" w:rsidR="00F450F8" w:rsidRDefault="00000000">
      <w:pPr>
        <w:spacing w:after="200" w:line="276" w:lineRule="auto"/>
        <w:jc w:val="both"/>
      </w:pPr>
      <w:r>
        <w:rPr>
          <w:rFonts w:cs="Arial"/>
          <w:b/>
          <w:bCs/>
        </w:rPr>
        <w:t>Objective:</w:t>
      </w:r>
      <w:r>
        <w:rPr>
          <w:rFonts w:cs="Arial"/>
        </w:rPr>
        <w:t xml:space="preserve"> To develop and describe </w:t>
      </w:r>
      <w:proofErr w:type="spellStart"/>
      <w:r>
        <w:rPr>
          <w:rFonts w:cs="Arial"/>
        </w:rPr>
        <w:t>ParCC</w:t>
      </w:r>
      <w:proofErr w:type="spellEnd"/>
      <w:r>
        <w:rPr>
          <w:rFonts w:cs="Arial"/>
        </w:rPr>
        <w:t xml:space="preserve"> (Parameter Converter &amp; Calculator), a freely accessible, browser-based platform that consolidates the routine mathematical operations required in health technology assessment into a single integrated environment. </w:t>
      </w:r>
      <w:proofErr w:type="spellStart"/>
      <w:r>
        <w:rPr>
          <w:rFonts w:cs="Arial"/>
        </w:rPr>
        <w:t>ParCC</w:t>
      </w:r>
      <w:proofErr w:type="spellEnd"/>
      <w:r>
        <w:rPr>
          <w:rFonts w:cs="Arial"/>
        </w:rPr>
        <w:t xml:space="preserve"> is designed to serve both as a computational tool for experienced analysts and as a pedagogical platform for researchers learning HTA methodology.</w:t>
      </w:r>
    </w:p>
    <w:p w14:paraId="07EED0A5" w14:textId="77777777" w:rsidR="00F450F8" w:rsidRDefault="00000000">
      <w:pPr>
        <w:spacing w:after="200" w:line="276" w:lineRule="auto"/>
        <w:jc w:val="both"/>
      </w:pPr>
      <w:r>
        <w:rPr>
          <w:rFonts w:cs="Arial"/>
          <w:b/>
          <w:bCs/>
        </w:rPr>
        <w:t>Methods:</w:t>
      </w:r>
      <w:r>
        <w:rPr>
          <w:rFonts w:cs="Arial"/>
        </w:rPr>
        <w:t xml:space="preserve"> </w:t>
      </w:r>
      <w:proofErr w:type="spellStart"/>
      <w:r>
        <w:rPr>
          <w:rFonts w:cs="Arial"/>
        </w:rPr>
        <w:t>ParCC</w:t>
      </w:r>
      <w:proofErr w:type="spellEnd"/>
      <w:r>
        <w:rPr>
          <w:rFonts w:cs="Arial"/>
        </w:rPr>
        <w:t xml:space="preserve"> was built using R and Shiny with a modular architecture comprising sixteen analytical capabilities organized in ten interface modules: core parameter converters (rate, odds, time rescaling, OR-to-RR, effect size transformations), hazard ratio-based probability estimation with NNT and log-rank-to-HR conversion, parametric survival fitting (Exponential, Weibull, Log-Logistic), background mortality adjustment, PSA distribution fitting (Beta, Gamma, </w:t>
      </w:r>
      <w:proofErr w:type="spellStart"/>
      <w:r>
        <w:rPr>
          <w:rFonts w:cs="Arial"/>
        </w:rPr>
        <w:t>LogNormal</w:t>
      </w:r>
      <w:proofErr w:type="spellEnd"/>
      <w:r>
        <w:rPr>
          <w:rFonts w:cs="Arial"/>
        </w:rPr>
        <w:t>, Dirichlet), financial calculations with annuity/PV streams, diagnostic test evaluation, cost-effectiveness analysis with budget impact analysis, value-based pricing, purchasing power parity conversion across 30 countries, and batch processing. Each module produces four layers of output: the computed result, a step-by-step plain-English explanation using the actual input values, the underlying mathematical formula rendered in publication-quality notation, and citations to methodological literature. All calculations are logged in a downloadable audit trail.</w:t>
      </w:r>
    </w:p>
    <w:p w14:paraId="6FC6F4CC" w14:textId="77777777" w:rsidR="00F450F8" w:rsidRDefault="00000000">
      <w:pPr>
        <w:spacing w:after="200" w:line="276" w:lineRule="auto"/>
        <w:jc w:val="both"/>
      </w:pPr>
      <w:r>
        <w:rPr>
          <w:rFonts w:cs="Arial"/>
          <w:b/>
          <w:bCs/>
        </w:rPr>
        <w:t>Results:</w:t>
      </w:r>
      <w:r>
        <w:rPr>
          <w:rFonts w:cs="Arial"/>
        </w:rPr>
        <w:t xml:space="preserve"> </w:t>
      </w:r>
      <w:proofErr w:type="spellStart"/>
      <w:r>
        <w:rPr>
          <w:rFonts w:cs="Arial"/>
        </w:rPr>
        <w:t>ParCC</w:t>
      </w:r>
      <w:proofErr w:type="spellEnd"/>
      <w:r>
        <w:rPr>
          <w:rFonts w:cs="Arial"/>
        </w:rPr>
        <w:t xml:space="preserve"> handles the complete spectrum of routine HTA calculations through a unified browser interface requiring no installation, programming, or licensing fees. Version 1.4 expands the platform with tools for network meta-analysis preparation (OR-to-RR conversion via Zhang and Yu, effect size transformations via Chinn), budget impact analysis following the ISPOR framework, cross-country cost transferability through purchasing power parity conversion with WHO-CHOICE willingness-to-pay threshold assessment, and additional parametric distributions (Dirichlet for multinomial PSA, Log-</w:t>
      </w:r>
      <w:r>
        <w:rPr>
          <w:rFonts w:cs="Arial"/>
        </w:rPr>
        <w:lastRenderedPageBreak/>
        <w:t>Logistic survival with non-monotonic hazard support). A global currency selector enables multi-country analyses. Comprehensive vignettes demonstrate proper parameter derivation using data from landmark trials. The automatic Lab Notebook generates a complete audit trail suitable for HTA submission appendices.</w:t>
      </w:r>
    </w:p>
    <w:p w14:paraId="3EAA326A" w14:textId="77777777" w:rsidR="00F450F8" w:rsidRDefault="00000000">
      <w:pPr>
        <w:spacing w:after="200" w:line="276" w:lineRule="auto"/>
        <w:jc w:val="both"/>
      </w:pPr>
      <w:r>
        <w:rPr>
          <w:rFonts w:cs="Arial"/>
          <w:b/>
          <w:bCs/>
        </w:rPr>
        <w:t>Conclusion:</w:t>
      </w:r>
      <w:r>
        <w:rPr>
          <w:rFonts w:cs="Arial"/>
        </w:rPr>
        <w:t xml:space="preserve"> </w:t>
      </w:r>
      <w:proofErr w:type="spellStart"/>
      <w:r>
        <w:rPr>
          <w:rFonts w:cs="Arial"/>
        </w:rPr>
        <w:t>ParCC</w:t>
      </w:r>
      <w:proofErr w:type="spellEnd"/>
      <w:r>
        <w:rPr>
          <w:rFonts w:cs="Arial"/>
        </w:rPr>
        <w:t xml:space="preserve"> provides a structured, transparent, and reproducible workflow for the mathematical operations underlying health economic evaluation. By integrating computation with methodological education and automatic documentation, the platform addresses persistent challenges of workflow fragmentation, error propagation, cross-country transferability, and capacity building. The tool is open-source, freely accessible, and designed for both research use and HTA training.</w:t>
      </w:r>
    </w:p>
    <w:p w14:paraId="225CF389" w14:textId="77777777" w:rsidR="00F450F8" w:rsidRDefault="00000000">
      <w:pPr>
        <w:spacing w:after="200" w:line="276" w:lineRule="auto"/>
        <w:jc w:val="both"/>
      </w:pPr>
      <w:r>
        <w:rPr>
          <w:rFonts w:cs="Arial"/>
          <w:b/>
          <w:bCs/>
        </w:rPr>
        <w:t>Keywords:</w:t>
      </w:r>
      <w:r>
        <w:rPr>
          <w:rFonts w:cs="Arial"/>
        </w:rPr>
        <w:t xml:space="preserve"> Health Technology Assessment, cost-effectiveness analysis, parameter conversion, hazard ratio, transition probability, probabilistic sensitivity analysis, value-based pricing, budget impact analysis, purchasing power parity, network meta-analysis, reproducibility, capacity building</w:t>
      </w:r>
    </w:p>
    <w:p w14:paraId="62F79F3E" w14:textId="77777777" w:rsidR="00F450F8" w:rsidRDefault="00000000">
      <w:r>
        <w:br w:type="page"/>
      </w:r>
    </w:p>
    <w:p w14:paraId="50A4EA82" w14:textId="77777777" w:rsidR="00F450F8" w:rsidRDefault="00000000">
      <w:pPr>
        <w:pStyle w:val="Heading1"/>
      </w:pPr>
      <w:r>
        <w:lastRenderedPageBreak/>
        <w:t>INTRODUCTION</w:t>
      </w:r>
    </w:p>
    <w:p w14:paraId="61C56706" w14:textId="77777777" w:rsidR="00F450F8" w:rsidRDefault="00000000">
      <w:pPr>
        <w:spacing w:after="200" w:line="276" w:lineRule="auto"/>
        <w:jc w:val="both"/>
      </w:pPr>
      <w:r>
        <w:rPr>
          <w:rFonts w:cs="Arial"/>
        </w:rPr>
        <w:t>Health economic evaluation requires a fundamental translation: converting clinical evidence, as reported in published studies, into the mathematical parameters that decision-analytic models consume. Clinical trials report rates per person-years, Kaplan-Meier survival estimates at defined time points, hazard ratios comparing treatment arms, and odds ratios from meta-analyses. Decision models, by contrast, require transition probabilities calibrated to discrete cycle lengths, parametric survival functions that extrapolate beyond observed follow-up, probability distributions capturing parameter uncertainty for Monte Carlo simulation, and adjusted mortality estimates for specific disease populations. This translation is not optional; it is a prerequisite for every model-based economic evaluation.</w:t>
      </w:r>
    </w:p>
    <w:p w14:paraId="6D0E3D4C" w14:textId="77777777" w:rsidR="00F450F8" w:rsidRDefault="00000000">
      <w:pPr>
        <w:spacing w:after="200" w:line="276" w:lineRule="auto"/>
        <w:jc w:val="both"/>
      </w:pPr>
      <w:r>
        <w:rPr>
          <w:rFonts w:cs="Arial"/>
        </w:rPr>
        <w:t>The mathematics underlying these conversions is well-established. Rates are converted to probabilities via exponential transformation. Hazard ratios are applied through the proportional hazards assumption to derive intervention-arm event rates. Weibull parameters are estimated through log-log linearization. Background mortality is adjusted using standardized mortality ratios on the rate scale. Distributions are fitted using method of moments. These procedures appear in every HTA textbook. Yet their implementation in practice remains remarkably fragmented.</w:t>
      </w:r>
    </w:p>
    <w:p w14:paraId="565290EF" w14:textId="77777777" w:rsidR="00F450F8" w:rsidRDefault="00000000">
      <w:pPr>
        <w:spacing w:after="200" w:line="276" w:lineRule="auto"/>
        <w:jc w:val="both"/>
      </w:pPr>
      <w:r>
        <w:rPr>
          <w:rFonts w:cs="Arial"/>
        </w:rPr>
        <w:t>A typical workflow might involve Excel for rate-to-probability conversions, R or Stata for survival curve fitting, separate calculators for diagnostic test evaluation, specialized tools for financial adjustments, and different programs for sensitivity analysis. Each transfer between tools introduces potential for transcription errors. Methodological choices -- which formula to use, how to handle time rescaling, whether to convert on the rate or probability scale -- vary between researchers working on similar problems. Documentation of the complete analytical chain rarely happens in a systematic way, making independent verification difficult and reproducibility uncertain.</w:t>
      </w:r>
    </w:p>
    <w:p w14:paraId="388EF21F" w14:textId="77777777" w:rsidR="00F450F8" w:rsidRDefault="00000000">
      <w:pPr>
        <w:spacing w:after="200" w:line="276" w:lineRule="auto"/>
        <w:jc w:val="both"/>
      </w:pPr>
      <w:r>
        <w:rPr>
          <w:rFonts w:cs="Arial"/>
        </w:rPr>
        <w:t>This fragmentation carries a particularly acute cost in settings where HTA infrastructure is still developing. Commercial modelling software (</w:t>
      </w:r>
      <w:proofErr w:type="spellStart"/>
      <w:r>
        <w:rPr>
          <w:rFonts w:cs="Arial"/>
        </w:rPr>
        <w:t>TreeAge</w:t>
      </w:r>
      <w:proofErr w:type="spellEnd"/>
      <w:r>
        <w:rPr>
          <w:rFonts w:cs="Arial"/>
        </w:rPr>
        <w:t xml:space="preserve"> Pro, specialized Excel add-ins) carries substantial licensing fees. R offers a powerful open-source alternative, but requires programming skills that researchers from clinical or public health backgrounds may not possess. The result is a paradox: the mathematical methods are well-documented, but accessible tools for implementing them correctly and transparently remain scarce.</w:t>
      </w:r>
    </w:p>
    <w:p w14:paraId="5EEB6C2C" w14:textId="77777777" w:rsidR="00F450F8" w:rsidRDefault="00000000">
      <w:pPr>
        <w:spacing w:after="200" w:line="276" w:lineRule="auto"/>
        <w:jc w:val="both"/>
      </w:pPr>
      <w:r>
        <w:rPr>
          <w:rFonts w:cs="Arial"/>
        </w:rPr>
        <w:t xml:space="preserve">Two additional challenges have become increasingly prominent in global HTA practice. First, network meta-analyses frequently pool studies reporting different effect measures -- odds ratios from case-control studies, relative risks from cohort studies, and standardized mean differences from continuous outcomes. Converting between these </w:t>
      </w:r>
      <w:r>
        <w:rPr>
          <w:rFonts w:cs="Arial"/>
        </w:rPr>
        <w:lastRenderedPageBreak/>
        <w:t>measures requires specific formulas (Zhang and Yu for OR-to-RR, Chinn for SMD-to-log(OR)) that are straightforward but error-prone when performed manually across dozens of comparisons. Second, cross-country cost transferability demands careful handling of purchasing power differences: a drug priced at USD 10,000 in the United States represents a fundamentally different economic burden in India or Thailand than simple exchange-rate conversion suggests.</w:t>
      </w:r>
    </w:p>
    <w:p w14:paraId="08A1B6D2" w14:textId="77777777" w:rsidR="00F450F8" w:rsidRDefault="00000000">
      <w:pPr>
        <w:spacing w:after="200" w:line="276" w:lineRule="auto"/>
        <w:jc w:val="both"/>
      </w:pPr>
      <w:r>
        <w:rPr>
          <w:rFonts w:cs="Arial"/>
        </w:rPr>
        <w:t>A less obvious but equally important gap concerns methodological education. Researchers performing these conversions for the first time often lack contextual understanding of why a particular formula is used, what assumptions it carries, or where it might fail. Furthermore, payers increasingly require budget impact analyses alongside cost-effectiveness evidence, demanding tools that project the financial consequences of technology adoption over multi-year planning horizons.</w:t>
      </w:r>
    </w:p>
    <w:p w14:paraId="3EEF39CE" w14:textId="77777777" w:rsidR="00F450F8" w:rsidRDefault="00000000">
      <w:pPr>
        <w:spacing w:after="200" w:line="276" w:lineRule="auto"/>
        <w:jc w:val="both"/>
      </w:pPr>
      <w:proofErr w:type="spellStart"/>
      <w:r>
        <w:rPr>
          <w:rFonts w:cs="Arial"/>
        </w:rPr>
        <w:t>ParCC</w:t>
      </w:r>
      <w:proofErr w:type="spellEnd"/>
      <w:r>
        <w:rPr>
          <w:rFonts w:cs="Arial"/>
        </w:rPr>
        <w:t xml:space="preserve"> (Parameter Converter &amp; Calculator) was developed to address these challenges simultaneously. The platform consolidates the routine mathematical operations of health technology assessment in one integrated environment, while embedding methodological education directly into every output. Version 1.4 extends the platform with tools for NMA preparation, cross-country cost transferability, budget impact analysis, and additional parametric distributions. The tool is browser-based, requires no installation or licensing, and automatically documents every calculation. This paper describes the platform's design, functionality, and intended applications.</w:t>
      </w:r>
    </w:p>
    <w:p w14:paraId="7A89716B" w14:textId="77777777" w:rsidR="00F450F8" w:rsidRDefault="00000000">
      <w:r>
        <w:br w:type="page"/>
      </w:r>
    </w:p>
    <w:p w14:paraId="05D1110F" w14:textId="77777777" w:rsidR="00F450F8" w:rsidRDefault="00000000">
      <w:pPr>
        <w:pStyle w:val="Heading1"/>
      </w:pPr>
      <w:r>
        <w:lastRenderedPageBreak/>
        <w:t>METHODS</w:t>
      </w:r>
    </w:p>
    <w:p w14:paraId="4088113D" w14:textId="77777777" w:rsidR="00F450F8" w:rsidRDefault="00000000">
      <w:pPr>
        <w:pStyle w:val="Heading2"/>
        <w:spacing w:before="360" w:after="200"/>
      </w:pPr>
      <w:r>
        <w:t>Design Principles</w:t>
      </w:r>
    </w:p>
    <w:p w14:paraId="3F0A321E" w14:textId="77777777" w:rsidR="00F450F8" w:rsidRDefault="00000000">
      <w:pPr>
        <w:spacing w:after="200" w:line="276" w:lineRule="auto"/>
        <w:jc w:val="both"/>
      </w:pPr>
      <w:r>
        <w:rPr>
          <w:rFonts w:cs="Arial"/>
        </w:rPr>
        <w:t xml:space="preserve">Four principles guided development. </w:t>
      </w:r>
      <w:r>
        <w:rPr>
          <w:rFonts w:cs="Arial"/>
          <w:b/>
          <w:bCs/>
        </w:rPr>
        <w:t>Integration:</w:t>
      </w:r>
      <w:r>
        <w:rPr>
          <w:rFonts w:cs="Arial"/>
        </w:rPr>
        <w:t xml:space="preserve"> Consolidate all routine HTA calculations in one environment, eliminating the inter-tool transfers where errors enter. </w:t>
      </w:r>
      <w:r>
        <w:rPr>
          <w:rFonts w:cs="Arial"/>
          <w:b/>
          <w:bCs/>
        </w:rPr>
        <w:t>Transparency:</w:t>
      </w:r>
      <w:r>
        <w:rPr>
          <w:rFonts w:cs="Arial"/>
        </w:rPr>
        <w:t xml:space="preserve"> Make every calculation fully auditable, with automatic logging of inputs, outputs, formulas, and timestamps. </w:t>
      </w:r>
      <w:r>
        <w:rPr>
          <w:rFonts w:cs="Arial"/>
          <w:b/>
          <w:bCs/>
        </w:rPr>
        <w:t>Education:</w:t>
      </w:r>
      <w:r>
        <w:rPr>
          <w:rFonts w:cs="Arial"/>
        </w:rPr>
        <w:t xml:space="preserve"> Provide methodological context alongside every result, so users learn the underlying mathematics as they work. </w:t>
      </w:r>
      <w:r>
        <w:rPr>
          <w:rFonts w:cs="Arial"/>
          <w:b/>
          <w:bCs/>
        </w:rPr>
        <w:t>Accessibility:</w:t>
      </w:r>
      <w:r>
        <w:rPr>
          <w:rFonts w:cs="Arial"/>
        </w:rPr>
        <w:t xml:space="preserve"> Require no installation, no licensing fees, and no programming skills.</w:t>
      </w:r>
    </w:p>
    <w:p w14:paraId="05318464" w14:textId="77777777" w:rsidR="00F450F8" w:rsidRDefault="00000000">
      <w:pPr>
        <w:pStyle w:val="Heading2"/>
        <w:spacing w:before="360" w:after="200"/>
      </w:pPr>
      <w:r>
        <w:t>Software Architecture</w:t>
      </w:r>
    </w:p>
    <w:p w14:paraId="57B09B7C" w14:textId="77777777" w:rsidR="00F450F8" w:rsidRDefault="00000000">
      <w:pPr>
        <w:spacing w:after="200" w:line="276" w:lineRule="auto"/>
        <w:jc w:val="both"/>
      </w:pPr>
      <w:proofErr w:type="spellStart"/>
      <w:r>
        <w:rPr>
          <w:rFonts w:cs="Arial"/>
        </w:rPr>
        <w:t>ParCC</w:t>
      </w:r>
      <w:proofErr w:type="spellEnd"/>
      <w:r>
        <w:rPr>
          <w:rFonts w:cs="Arial"/>
        </w:rPr>
        <w:t xml:space="preserve"> was built using R and the Shiny web application framework. The architecture employs Shiny's </w:t>
      </w:r>
      <w:proofErr w:type="spellStart"/>
      <w:r>
        <w:rPr>
          <w:rFonts w:cs="Arial"/>
        </w:rPr>
        <w:t>moduleServer</w:t>
      </w:r>
      <w:proofErr w:type="spellEnd"/>
      <w:r>
        <w:rPr>
          <w:rFonts w:cs="Arial"/>
        </w:rPr>
        <w:t xml:space="preserve"> pattern, separating each analytical function into an independent module with </w:t>
      </w:r>
      <w:proofErr w:type="spellStart"/>
      <w:r>
        <w:rPr>
          <w:rFonts w:cs="Arial"/>
        </w:rPr>
        <w:t>namespaced</w:t>
      </w:r>
      <w:proofErr w:type="spellEnd"/>
      <w:r>
        <w:rPr>
          <w:rFonts w:cs="Arial"/>
        </w:rPr>
        <w:t xml:space="preserve"> inputs and outputs. This design prevents performance interference between modules and allows independent maintenance and extension.</w:t>
      </w:r>
    </w:p>
    <w:p w14:paraId="2D49D5DD" w14:textId="77777777" w:rsidR="00F450F8" w:rsidRDefault="00000000">
      <w:pPr>
        <w:spacing w:after="200" w:line="276" w:lineRule="auto"/>
        <w:jc w:val="both"/>
      </w:pPr>
      <w:r>
        <w:rPr>
          <w:rFonts w:cs="Arial"/>
        </w:rPr>
        <w:t xml:space="preserve">The platform integrates several R packages: shiny and </w:t>
      </w:r>
      <w:proofErr w:type="spellStart"/>
      <w:r>
        <w:rPr>
          <w:rFonts w:cs="Arial"/>
        </w:rPr>
        <w:t>shinythemes</w:t>
      </w:r>
      <w:proofErr w:type="spellEnd"/>
      <w:r>
        <w:rPr>
          <w:rFonts w:cs="Arial"/>
        </w:rPr>
        <w:t xml:space="preserve"> for the interface; ggplot2 and </w:t>
      </w:r>
      <w:proofErr w:type="spellStart"/>
      <w:r>
        <w:rPr>
          <w:rFonts w:cs="Arial"/>
        </w:rPr>
        <w:t>plotly</w:t>
      </w:r>
      <w:proofErr w:type="spellEnd"/>
      <w:r>
        <w:rPr>
          <w:rFonts w:cs="Arial"/>
        </w:rPr>
        <w:t xml:space="preserve"> for static and interactive visualization; DT for interactive data tables in bulk operations; and </w:t>
      </w:r>
      <w:proofErr w:type="spellStart"/>
      <w:r>
        <w:rPr>
          <w:rFonts w:cs="Arial"/>
        </w:rPr>
        <w:t>rmarkdown</w:t>
      </w:r>
      <w:proofErr w:type="spellEnd"/>
      <w:r>
        <w:rPr>
          <w:rFonts w:cs="Arial"/>
        </w:rPr>
        <w:t xml:space="preserve"> for generating documentation reports. Mathematical formulas are rendered using </w:t>
      </w:r>
      <w:proofErr w:type="spellStart"/>
      <w:r>
        <w:rPr>
          <w:rFonts w:cs="Arial"/>
        </w:rPr>
        <w:t>MathJax</w:t>
      </w:r>
      <w:proofErr w:type="spellEnd"/>
      <w:r>
        <w:rPr>
          <w:rFonts w:cs="Arial"/>
        </w:rPr>
        <w:t>, with a dynamic retrigger pattern ensuring correct display within Shiny's reactive output panels. An interactive HTML/CSS/jQuery collapsible accordion on the Home page provides a visual overview of all tools with clickable navigation to each module. A global currency selector allows users to switch between INR, USD, EUR, GBP, JPY, and other currencies, with all economic modules updating automatically.</w:t>
      </w:r>
    </w:p>
    <w:p w14:paraId="049E55C2" w14:textId="77777777" w:rsidR="00F450F8" w:rsidRDefault="00000000">
      <w:pPr>
        <w:pStyle w:val="Heading2"/>
        <w:spacing w:before="360" w:after="200"/>
      </w:pPr>
      <w:r>
        <w:t>Enhanced Output Architecture</w:t>
      </w:r>
    </w:p>
    <w:p w14:paraId="494C981E" w14:textId="77777777" w:rsidR="00F450F8" w:rsidRDefault="00000000">
      <w:pPr>
        <w:spacing w:after="200" w:line="276" w:lineRule="auto"/>
        <w:jc w:val="both"/>
      </w:pPr>
      <w:r>
        <w:rPr>
          <w:rFonts w:cs="Arial"/>
        </w:rPr>
        <w:t xml:space="preserve">A distinctive feature of </w:t>
      </w:r>
      <w:proofErr w:type="spellStart"/>
      <w:r>
        <w:rPr>
          <w:rFonts w:cs="Arial"/>
        </w:rPr>
        <w:t>ParCC</w:t>
      </w:r>
      <w:proofErr w:type="spellEnd"/>
      <w:r>
        <w:rPr>
          <w:rFonts w:cs="Arial"/>
        </w:rPr>
        <w:t xml:space="preserve"> is that every calculation module produces four layers of output in the results panel:</w:t>
      </w:r>
    </w:p>
    <w:p w14:paraId="1A7489EC" w14:textId="77777777" w:rsidR="00F450F8" w:rsidRDefault="00000000">
      <w:pPr>
        <w:spacing w:after="200" w:line="276" w:lineRule="auto"/>
        <w:jc w:val="both"/>
      </w:pPr>
      <w:r>
        <w:rPr>
          <w:rFonts w:cs="Arial"/>
        </w:rPr>
        <w:t>(1) Computed result -- the numerical answer, clearly formatted. (2) Step-by-step explanation -- a plain-English walkthrough using the user's actual input values, describing each stage of the calculation and noting common pitfalls. (3) Mathematical formula -- the underlying equation rendered in publication-quality LaTeX notation, with parameter definitions. (4) Literature citations -- references to the methodological source for the formula, enabling users to consult the original derivation.</w:t>
      </w:r>
    </w:p>
    <w:p w14:paraId="03DBE01B" w14:textId="77777777" w:rsidR="00F450F8" w:rsidRDefault="00000000">
      <w:pPr>
        <w:spacing w:after="200" w:line="276" w:lineRule="auto"/>
        <w:jc w:val="both"/>
      </w:pPr>
      <w:r>
        <w:rPr>
          <w:rFonts w:cs="Arial"/>
        </w:rPr>
        <w:lastRenderedPageBreak/>
        <w:t xml:space="preserve">This architecture transforms </w:t>
      </w:r>
      <w:proofErr w:type="spellStart"/>
      <w:r>
        <w:rPr>
          <w:rFonts w:cs="Arial"/>
        </w:rPr>
        <w:t>ParCC</w:t>
      </w:r>
      <w:proofErr w:type="spellEnd"/>
      <w:r>
        <w:rPr>
          <w:rFonts w:cs="Arial"/>
        </w:rPr>
        <w:t xml:space="preserve"> from a pure calculator into a pedagogical platform. A researcher converting a hazard ratio for the first time not only obtains the correct result but also sees exactly how the proportional hazards assumption was applied, what the formula means, and where to read more.</w:t>
      </w:r>
    </w:p>
    <w:p w14:paraId="25311638" w14:textId="77777777" w:rsidR="00F450F8" w:rsidRDefault="00000000">
      <w:pPr>
        <w:pStyle w:val="Heading2"/>
        <w:spacing w:before="360" w:after="200"/>
      </w:pPr>
      <w:r>
        <w:t>Access and Deployment</w:t>
      </w:r>
    </w:p>
    <w:p w14:paraId="672E34D6" w14:textId="77777777" w:rsidR="00F450F8" w:rsidRDefault="00000000">
      <w:pPr>
        <w:spacing w:after="200" w:line="276" w:lineRule="auto"/>
        <w:jc w:val="both"/>
      </w:pPr>
      <w:proofErr w:type="spellStart"/>
      <w:r>
        <w:rPr>
          <w:rFonts w:cs="Arial"/>
        </w:rPr>
        <w:t>ParCC</w:t>
      </w:r>
      <w:proofErr w:type="spellEnd"/>
      <w:r>
        <w:rPr>
          <w:rFonts w:cs="Arial"/>
        </w:rPr>
        <w:t xml:space="preserve"> is accessible through three routes. The hosted web application requires only a browser. For local deployment -- useful for sensitive data or offline work -- the tool is distributed as an R package installable from GitHub (github.com/</w:t>
      </w:r>
      <w:proofErr w:type="spellStart"/>
      <w:r>
        <w:rPr>
          <w:rFonts w:cs="Arial"/>
        </w:rPr>
        <w:t>drpakhare</w:t>
      </w:r>
      <w:proofErr w:type="spellEnd"/>
      <w:r>
        <w:rPr>
          <w:rFonts w:cs="Arial"/>
        </w:rPr>
        <w:t>/</w:t>
      </w:r>
      <w:proofErr w:type="spellStart"/>
      <w:r>
        <w:rPr>
          <w:rFonts w:cs="Arial"/>
        </w:rPr>
        <w:t>ParCC</w:t>
      </w:r>
      <w:proofErr w:type="spellEnd"/>
      <w:r>
        <w:rPr>
          <w:rFonts w:cs="Arial"/>
        </w:rPr>
        <w:t xml:space="preserve">) under the MIT open-source license. Comprehensive documentation with worked-example vignettes is available at the </w:t>
      </w:r>
      <w:proofErr w:type="spellStart"/>
      <w:r>
        <w:rPr>
          <w:rFonts w:cs="Arial"/>
        </w:rPr>
        <w:t>pkgdown</w:t>
      </w:r>
      <w:proofErr w:type="spellEnd"/>
      <w:r>
        <w:rPr>
          <w:rFonts w:cs="Arial"/>
        </w:rPr>
        <w:t xml:space="preserve"> site (https://drpakhare.github.io/ParCC/). The complete source code is publicly available for inspection, adaptation, and contribution.</w:t>
      </w:r>
    </w:p>
    <w:p w14:paraId="72ADF56B" w14:textId="77777777" w:rsidR="00F450F8" w:rsidRDefault="00000000">
      <w:pPr>
        <w:pStyle w:val="Heading2"/>
        <w:spacing w:before="360" w:after="200"/>
      </w:pPr>
      <w:r>
        <w:t>Mathematical Foundations</w:t>
      </w:r>
    </w:p>
    <w:p w14:paraId="16ACF77E" w14:textId="77777777" w:rsidR="00F450F8" w:rsidRDefault="00000000">
      <w:pPr>
        <w:spacing w:after="200" w:line="276" w:lineRule="auto"/>
        <w:jc w:val="both"/>
      </w:pPr>
      <w:r>
        <w:rPr>
          <w:rFonts w:cs="Arial"/>
        </w:rPr>
        <w:t xml:space="preserve">All calculations follow established HTA methodology. Rate-to-probability conversion uses the exponential transformation p = 1 - exp(-rt). Hazard ratio-based conversion extracts the baseline hazard from control-arm data, applies the proportional hazards assumption, and converts to the target cycle length. OR-to-RR conversion follows Zhang and Yu (1998): RR = OR / (1 - p0 + p0 x OR). Effect size transformation uses Chinn (2000): log(OR) = SMD x pi/sqrt(3). The Peto approximation estimates hazard ratios from published log-rank statistics: log(HR) = z / sqrt(E/4). Survival analysis employs two-point calibration for Exponential, Weibull (via log-log transformation), and Log-Logistic distributions; the Log-Logistic accommodates non-monotonic hazards via S(t) = 1 / (1 + (t/alpha)^beta). Background mortality uses SMR adjustment on the rate scale, Gompertz parameterization, linear interpolation, and the DEALE approximation. Distribution fitting uses the method of moments for Beta, Gamma, and </w:t>
      </w:r>
      <w:proofErr w:type="spellStart"/>
      <w:r>
        <w:rPr>
          <w:rFonts w:cs="Arial"/>
        </w:rPr>
        <w:t>LogNormal</w:t>
      </w:r>
      <w:proofErr w:type="spellEnd"/>
      <w:r>
        <w:rPr>
          <w:rFonts w:cs="Arial"/>
        </w:rPr>
        <w:t>; the Dirichlet distribution handles multinomial transition probabilities via Gamma decomposition. Financial calculations include discounting, inflation adjustment, and annuity/PV streams. Budget impact analysis follows the ISPOR Good Practice framework (Sullivan et al., 2014). PPP conversion uses World Bank 2022 ICP data across 30 countries, with WHO-CHOICE WTP thresholds (1x and 3x GDP per capita) for cost-effectiveness assessment. Detailed formulas for each capability are presented in Table 2.</w:t>
      </w:r>
    </w:p>
    <w:p w14:paraId="049F6CBA" w14:textId="77777777" w:rsidR="00F450F8" w:rsidRDefault="00000000">
      <w:pPr>
        <w:pStyle w:val="Heading2"/>
        <w:spacing w:before="360" w:after="200"/>
      </w:pPr>
      <w:r>
        <w:t>Validation</w:t>
      </w:r>
    </w:p>
    <w:p w14:paraId="731AC7C6" w14:textId="77777777" w:rsidR="00F450F8" w:rsidRDefault="00000000">
      <w:pPr>
        <w:spacing w:after="200" w:line="276" w:lineRule="auto"/>
        <w:jc w:val="both"/>
      </w:pPr>
      <w:r>
        <w:rPr>
          <w:rFonts w:cs="Arial"/>
        </w:rPr>
        <w:t xml:space="preserve">Computational accuracy was verified through a structured validation protocol. A set of 51 test cases spanning all sixteen analytical capabilities was designed, with two to four cases per capability covering typical inputs, boundary conditions, and edge cases (e.g., hazard ratios above unity, zero discount rates, perfect specificity, PPP conversions between </w:t>
      </w:r>
      <w:r>
        <w:rPr>
          <w:rFonts w:cs="Arial"/>
        </w:rPr>
        <w:lastRenderedPageBreak/>
        <w:t xml:space="preserve">high- and low-income countries). For each test case, expected outputs were computed independently by manual formula evaluation in Excel and cross-checked against published textbook worked examples where available. </w:t>
      </w:r>
      <w:proofErr w:type="spellStart"/>
      <w:r>
        <w:rPr>
          <w:rFonts w:cs="Arial"/>
        </w:rPr>
        <w:t>ParCC</w:t>
      </w:r>
      <w:proofErr w:type="spellEnd"/>
      <w:r>
        <w:rPr>
          <w:rFonts w:cs="Arial"/>
        </w:rPr>
        <w:t xml:space="preserve"> outputs were then compared against these expected values, with agreement required to five decimal places. The complete test case workbook, including input specifications, source references, expected outputs, and observed outputs, is provided as Supplementary Material to enable independent replication.</w:t>
      </w:r>
    </w:p>
    <w:p w14:paraId="656EFD93" w14:textId="77777777" w:rsidR="00F450F8" w:rsidRDefault="00000000">
      <w:r>
        <w:br w:type="page"/>
      </w:r>
    </w:p>
    <w:p w14:paraId="6E02D9F9" w14:textId="77777777" w:rsidR="00F450F8" w:rsidRDefault="00000000">
      <w:pPr>
        <w:spacing w:after="200" w:line="276" w:lineRule="auto"/>
        <w:jc w:val="both"/>
      </w:pPr>
      <w:r>
        <w:rPr>
          <w:rFonts w:cs="Arial"/>
          <w:b/>
          <w:bCs/>
        </w:rPr>
        <w:lastRenderedPageBreak/>
        <w:t xml:space="preserve">Table 2: Key Mathematical Formulas Implemented in </w:t>
      </w:r>
      <w:proofErr w:type="spellStart"/>
      <w:r>
        <w:rPr>
          <w:rFonts w:cs="Arial"/>
          <w:b/>
          <w:bCs/>
        </w:rPr>
        <w:t>ParCC</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50F8" w14:paraId="77EF69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712309" w14:textId="77777777" w:rsidR="00F450F8" w:rsidRDefault="00000000">
            <w:pPr>
              <w:spacing w:after="40"/>
            </w:pPr>
            <w:r>
              <w:rPr>
                <w:rFonts w:cs="Arial"/>
                <w:b/>
                <w:bCs/>
                <w:sz w:val="22"/>
                <w:szCs w:val="22"/>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59FA98" w14:textId="77777777" w:rsidR="00F450F8" w:rsidRDefault="00000000">
            <w:pPr>
              <w:spacing w:after="40"/>
            </w:pPr>
            <w:r>
              <w:rPr>
                <w:rFonts w:cs="Arial"/>
                <w:b/>
                <w:bCs/>
                <w:sz w:val="22"/>
                <w:szCs w:val="22"/>
              </w:rPr>
              <w:t>Formula</w:t>
            </w:r>
          </w:p>
        </w:tc>
      </w:tr>
      <w:tr w:rsidR="00F450F8" w14:paraId="22F318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DE8AD" w14:textId="77777777" w:rsidR="00F450F8" w:rsidRDefault="00000000">
            <w:pPr>
              <w:spacing w:after="40"/>
            </w:pPr>
            <w:r>
              <w:rPr>
                <w:rFonts w:cs="Arial"/>
                <w:sz w:val="22"/>
                <w:szCs w:val="22"/>
              </w:rPr>
              <w:t>Rate to Probability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04A5" w14:textId="77777777" w:rsidR="00F450F8" w:rsidRDefault="00000000">
            <w:pPr>
              <w:spacing w:after="40"/>
            </w:pPr>
            <w:r>
              <w:rPr>
                <w:rFonts w:cs="Arial"/>
                <w:sz w:val="22"/>
                <w:szCs w:val="22"/>
              </w:rPr>
              <w:t>p = 1 - exp(-r x t), where r = rate, t = cycle length</w:t>
            </w:r>
          </w:p>
        </w:tc>
      </w:tr>
      <w:tr w:rsidR="00F450F8" w14:paraId="201C60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097B6" w14:textId="77777777" w:rsidR="00F450F8" w:rsidRDefault="00000000">
            <w:pPr>
              <w:spacing w:after="40"/>
            </w:pPr>
            <w:r>
              <w:rPr>
                <w:rFonts w:cs="Arial"/>
                <w:sz w:val="22"/>
                <w:szCs w:val="22"/>
              </w:rPr>
              <w:t>Probability to Rate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09DF" w14:textId="77777777" w:rsidR="00F450F8" w:rsidRDefault="00000000">
            <w:pPr>
              <w:spacing w:after="40"/>
            </w:pPr>
            <w:r>
              <w:rPr>
                <w:rFonts w:cs="Arial"/>
                <w:sz w:val="22"/>
                <w:szCs w:val="22"/>
              </w:rPr>
              <w:t>r = -ln(1 - p) / t</w:t>
            </w:r>
          </w:p>
        </w:tc>
      </w:tr>
      <w:tr w:rsidR="00F450F8" w14:paraId="10592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FC87A" w14:textId="77777777" w:rsidR="00F450F8" w:rsidRDefault="00000000">
            <w:pPr>
              <w:spacing w:after="40"/>
            </w:pPr>
            <w:r>
              <w:rPr>
                <w:rFonts w:cs="Arial"/>
                <w:sz w:val="22"/>
                <w:szCs w:val="22"/>
              </w:rPr>
              <w:t>HR-Based Conversion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AE2BD" w14:textId="77777777" w:rsidR="00F450F8" w:rsidRDefault="00000000">
            <w:pPr>
              <w:spacing w:after="40"/>
            </w:pPr>
            <w:proofErr w:type="spellStart"/>
            <w:r>
              <w:rPr>
                <w:rFonts w:cs="Arial"/>
                <w:sz w:val="22"/>
                <w:szCs w:val="22"/>
              </w:rPr>
              <w:t>r_ctrl</w:t>
            </w:r>
            <w:proofErr w:type="spellEnd"/>
            <w:r>
              <w:rPr>
                <w:rFonts w:cs="Arial"/>
                <w:sz w:val="22"/>
                <w:szCs w:val="22"/>
              </w:rPr>
              <w:t xml:space="preserve"> = -ln(1-p_ctrl)/t; </w:t>
            </w:r>
            <w:proofErr w:type="spellStart"/>
            <w:r>
              <w:rPr>
                <w:rFonts w:cs="Arial"/>
                <w:sz w:val="22"/>
                <w:szCs w:val="22"/>
              </w:rPr>
              <w:t>r_int</w:t>
            </w:r>
            <w:proofErr w:type="spellEnd"/>
            <w:r>
              <w:rPr>
                <w:rFonts w:cs="Arial"/>
                <w:sz w:val="22"/>
                <w:szCs w:val="22"/>
              </w:rPr>
              <w:t xml:space="preserve"> = </w:t>
            </w:r>
            <w:proofErr w:type="spellStart"/>
            <w:r>
              <w:rPr>
                <w:rFonts w:cs="Arial"/>
                <w:sz w:val="22"/>
                <w:szCs w:val="22"/>
              </w:rPr>
              <w:t>r_ctrl</w:t>
            </w:r>
            <w:proofErr w:type="spellEnd"/>
            <w:r>
              <w:rPr>
                <w:rFonts w:cs="Arial"/>
                <w:sz w:val="22"/>
                <w:szCs w:val="22"/>
              </w:rPr>
              <w:t xml:space="preserve"> x HR; </w:t>
            </w:r>
            <w:proofErr w:type="spellStart"/>
            <w:r>
              <w:rPr>
                <w:rFonts w:cs="Arial"/>
                <w:sz w:val="22"/>
                <w:szCs w:val="22"/>
              </w:rPr>
              <w:t>p_int</w:t>
            </w:r>
            <w:proofErr w:type="spellEnd"/>
            <w:r>
              <w:rPr>
                <w:rFonts w:cs="Arial"/>
                <w:sz w:val="22"/>
                <w:szCs w:val="22"/>
              </w:rPr>
              <w:t xml:space="preserve"> = 1-exp(-</w:t>
            </w:r>
            <w:proofErr w:type="spellStart"/>
            <w:r>
              <w:rPr>
                <w:rFonts w:cs="Arial"/>
                <w:sz w:val="22"/>
                <w:szCs w:val="22"/>
              </w:rPr>
              <w:t>r_int</w:t>
            </w:r>
            <w:proofErr w:type="spellEnd"/>
            <w:r>
              <w:rPr>
                <w:rFonts w:cs="Arial"/>
                <w:sz w:val="22"/>
                <w:szCs w:val="22"/>
              </w:rPr>
              <w:t xml:space="preserve"> x t)</w:t>
            </w:r>
          </w:p>
        </w:tc>
      </w:tr>
      <w:tr w:rsidR="00F450F8" w14:paraId="55EA1A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F1813" w14:textId="77777777" w:rsidR="00F450F8" w:rsidRDefault="00000000">
            <w:pPr>
              <w:spacing w:after="40"/>
            </w:pPr>
            <w:r>
              <w:rPr>
                <w:rFonts w:cs="Arial"/>
                <w:sz w:val="22"/>
                <w:szCs w:val="22"/>
              </w:rPr>
              <w:t>Odds to Probability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B62CD" w14:textId="77777777" w:rsidR="00F450F8" w:rsidRDefault="00000000">
            <w:pPr>
              <w:spacing w:after="40"/>
            </w:pPr>
            <w:r>
              <w:rPr>
                <w:rFonts w:cs="Arial"/>
                <w:sz w:val="22"/>
                <w:szCs w:val="22"/>
              </w:rPr>
              <w:t>p = odds / (1 + odds)</w:t>
            </w:r>
          </w:p>
        </w:tc>
      </w:tr>
      <w:tr w:rsidR="00F450F8" w14:paraId="280FB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3C9A5" w14:textId="77777777" w:rsidR="00F450F8" w:rsidRDefault="00000000">
            <w:pPr>
              <w:spacing w:after="40"/>
            </w:pPr>
            <w:r>
              <w:rPr>
                <w:rFonts w:cs="Arial"/>
                <w:sz w:val="22"/>
                <w:szCs w:val="22"/>
              </w:rPr>
              <w:t>OR to RR (Zhang &amp; Yu)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B8BD1" w14:textId="77777777" w:rsidR="00F450F8" w:rsidRDefault="00000000">
            <w:pPr>
              <w:spacing w:after="40"/>
            </w:pPr>
            <w:r>
              <w:rPr>
                <w:rFonts w:cs="Arial"/>
                <w:sz w:val="22"/>
                <w:szCs w:val="22"/>
              </w:rPr>
              <w:t>RR = OR / (1 - p0 + p0 x OR)</w:t>
            </w:r>
          </w:p>
        </w:tc>
      </w:tr>
      <w:tr w:rsidR="00F450F8" w14:paraId="30E2F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9AD1" w14:textId="77777777" w:rsidR="00F450F8" w:rsidRDefault="00000000">
            <w:pPr>
              <w:spacing w:after="40"/>
            </w:pPr>
            <w:r>
              <w:rPr>
                <w:rFonts w:cs="Arial"/>
                <w:sz w:val="22"/>
                <w:szCs w:val="22"/>
              </w:rPr>
              <w:t>Effect Size (Chinn)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446E" w14:textId="77777777" w:rsidR="00F450F8" w:rsidRDefault="00000000">
            <w:pPr>
              <w:spacing w:after="40"/>
            </w:pPr>
            <w:r>
              <w:rPr>
                <w:rFonts w:cs="Arial"/>
                <w:sz w:val="22"/>
                <w:szCs w:val="22"/>
              </w:rPr>
              <w:t>log(OR) = SMD x pi / sqrt(3)</w:t>
            </w:r>
          </w:p>
        </w:tc>
      </w:tr>
      <w:tr w:rsidR="00F450F8" w14:paraId="284DE2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2EF38" w14:textId="77777777" w:rsidR="00F450F8" w:rsidRDefault="00000000">
            <w:pPr>
              <w:spacing w:after="40"/>
            </w:pPr>
            <w:r>
              <w:rPr>
                <w:rFonts w:cs="Arial"/>
                <w:sz w:val="22"/>
                <w:szCs w:val="22"/>
              </w:rPr>
              <w:t>Log-rank to HR (Peto)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02F2" w14:textId="77777777" w:rsidR="00F450F8" w:rsidRDefault="00000000">
            <w:pPr>
              <w:spacing w:after="40"/>
            </w:pPr>
            <w:r>
              <w:rPr>
                <w:rFonts w:cs="Arial"/>
                <w:sz w:val="22"/>
                <w:szCs w:val="22"/>
              </w:rPr>
              <w:t>log(HR) = +/- z / sqrt(E/4); z = sqrt(chi2) or from p-value</w:t>
            </w:r>
          </w:p>
        </w:tc>
      </w:tr>
      <w:tr w:rsidR="00F450F8" w14:paraId="215C6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268D" w14:textId="77777777" w:rsidR="00F450F8" w:rsidRDefault="00000000">
            <w:pPr>
              <w:spacing w:after="40"/>
            </w:pPr>
            <w:r>
              <w:rPr>
                <w:rFonts w:cs="Arial"/>
                <w:sz w:val="22"/>
                <w:szCs w:val="22"/>
              </w:rPr>
              <w:t>NNT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C2FD" w14:textId="77777777" w:rsidR="00F450F8" w:rsidRDefault="00000000">
            <w:pPr>
              <w:spacing w:after="40"/>
            </w:pPr>
            <w:r>
              <w:rPr>
                <w:rFonts w:cs="Arial"/>
                <w:sz w:val="22"/>
                <w:szCs w:val="22"/>
              </w:rPr>
              <w:t>NNT = ceil(1 / ARR)</w:t>
            </w:r>
          </w:p>
        </w:tc>
      </w:tr>
      <w:tr w:rsidR="00F450F8" w14:paraId="76B329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6B95D" w14:textId="77777777" w:rsidR="00F450F8" w:rsidRDefault="00000000">
            <w:pPr>
              <w:spacing w:after="40"/>
            </w:pPr>
            <w:r>
              <w:rPr>
                <w:rFonts w:cs="Arial"/>
                <w:sz w:val="22"/>
                <w:szCs w:val="22"/>
              </w:rPr>
              <w:t>Weibull (two-point)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285C" w14:textId="77777777" w:rsidR="00F450F8" w:rsidRDefault="00000000">
            <w:pPr>
              <w:spacing w:after="40"/>
            </w:pPr>
            <w:r>
              <w:rPr>
                <w:rFonts w:cs="Arial"/>
                <w:sz w:val="22"/>
                <w:szCs w:val="22"/>
              </w:rPr>
              <w:t>ln[-ln S(t)] = gamma x ln(t) - gamma x ln(lambda)</w:t>
            </w:r>
          </w:p>
        </w:tc>
      </w:tr>
      <w:tr w:rsidR="00F450F8" w14:paraId="2BBC27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5FD99" w14:textId="77777777" w:rsidR="00F450F8" w:rsidRDefault="00000000">
            <w:pPr>
              <w:spacing w:after="40"/>
            </w:pPr>
            <w:r>
              <w:rPr>
                <w:rFonts w:cs="Arial"/>
                <w:sz w:val="22"/>
                <w:szCs w:val="22"/>
              </w:rPr>
              <w:t>Log-Logistic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EB5AA" w14:textId="77777777" w:rsidR="00F450F8" w:rsidRDefault="00000000">
            <w:pPr>
              <w:spacing w:after="40"/>
            </w:pPr>
            <w:r>
              <w:rPr>
                <w:rFonts w:cs="Arial"/>
                <w:sz w:val="22"/>
                <w:szCs w:val="22"/>
              </w:rPr>
              <w:t>S(t) = 1 / (1 + (t/alpha)^beta)</w:t>
            </w:r>
          </w:p>
        </w:tc>
      </w:tr>
      <w:tr w:rsidR="00F450F8" w14:paraId="16A8AE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C204" w14:textId="77777777" w:rsidR="00F450F8" w:rsidRDefault="00000000">
            <w:pPr>
              <w:spacing w:after="40"/>
            </w:pPr>
            <w:r>
              <w:rPr>
                <w:rFonts w:cs="Arial"/>
                <w:sz w:val="22"/>
                <w:szCs w:val="22"/>
              </w:rPr>
              <w:t>SMR Adjustment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FBE8" w14:textId="77777777" w:rsidR="00F450F8" w:rsidRDefault="00000000">
            <w:pPr>
              <w:spacing w:after="40"/>
            </w:pPr>
            <w:proofErr w:type="spellStart"/>
            <w:r>
              <w:rPr>
                <w:rFonts w:cs="Arial"/>
                <w:sz w:val="22"/>
                <w:szCs w:val="22"/>
              </w:rPr>
              <w:t>r_adj</w:t>
            </w:r>
            <w:proofErr w:type="spellEnd"/>
            <w:r>
              <w:rPr>
                <w:rFonts w:cs="Arial"/>
                <w:sz w:val="22"/>
                <w:szCs w:val="22"/>
              </w:rPr>
              <w:t xml:space="preserve"> = </w:t>
            </w:r>
            <w:proofErr w:type="spellStart"/>
            <w:r>
              <w:rPr>
                <w:rFonts w:cs="Arial"/>
                <w:sz w:val="22"/>
                <w:szCs w:val="22"/>
              </w:rPr>
              <w:t>r_pop</w:t>
            </w:r>
            <w:proofErr w:type="spellEnd"/>
            <w:r>
              <w:rPr>
                <w:rFonts w:cs="Arial"/>
                <w:sz w:val="22"/>
                <w:szCs w:val="22"/>
              </w:rPr>
              <w:t xml:space="preserve"> x SMR; </w:t>
            </w:r>
            <w:proofErr w:type="spellStart"/>
            <w:r>
              <w:rPr>
                <w:rFonts w:cs="Arial"/>
                <w:sz w:val="22"/>
                <w:szCs w:val="22"/>
              </w:rPr>
              <w:t>q_adj</w:t>
            </w:r>
            <w:proofErr w:type="spellEnd"/>
            <w:r>
              <w:rPr>
                <w:rFonts w:cs="Arial"/>
                <w:sz w:val="22"/>
                <w:szCs w:val="22"/>
              </w:rPr>
              <w:t xml:space="preserve"> = 1 - exp(-</w:t>
            </w:r>
            <w:proofErr w:type="spellStart"/>
            <w:r>
              <w:rPr>
                <w:rFonts w:cs="Arial"/>
                <w:sz w:val="22"/>
                <w:szCs w:val="22"/>
              </w:rPr>
              <w:t>r_adj</w:t>
            </w:r>
            <w:proofErr w:type="spellEnd"/>
            <w:r>
              <w:rPr>
                <w:rFonts w:cs="Arial"/>
                <w:sz w:val="22"/>
                <w:szCs w:val="22"/>
              </w:rPr>
              <w:t>)</w:t>
            </w:r>
          </w:p>
        </w:tc>
      </w:tr>
      <w:tr w:rsidR="00F450F8" w14:paraId="713F42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E470" w14:textId="77777777" w:rsidR="00F450F8" w:rsidRDefault="00000000">
            <w:pPr>
              <w:spacing w:after="40"/>
            </w:pPr>
            <w:r>
              <w:rPr>
                <w:rFonts w:cs="Arial"/>
                <w:sz w:val="22"/>
                <w:szCs w:val="22"/>
              </w:rPr>
              <w:t>Gompertz Mortality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28D9C" w14:textId="77777777" w:rsidR="00F450F8" w:rsidRDefault="00000000">
            <w:pPr>
              <w:spacing w:after="40"/>
            </w:pPr>
            <w:r>
              <w:rPr>
                <w:rFonts w:cs="Arial"/>
                <w:sz w:val="22"/>
                <w:szCs w:val="22"/>
              </w:rPr>
              <w:t>mu(x) = alpha x exp(beta x x); fitted via log-linearization</w:t>
            </w:r>
          </w:p>
        </w:tc>
      </w:tr>
      <w:tr w:rsidR="00F450F8" w14:paraId="1CE24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5AE33" w14:textId="77777777" w:rsidR="00F450F8" w:rsidRDefault="00000000">
            <w:pPr>
              <w:spacing w:after="40"/>
            </w:pPr>
            <w:r>
              <w:rPr>
                <w:rFonts w:cs="Arial"/>
                <w:sz w:val="22"/>
                <w:szCs w:val="22"/>
              </w:rPr>
              <w:t>DEALE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88E27" w14:textId="77777777" w:rsidR="00F450F8" w:rsidRDefault="00000000">
            <w:pPr>
              <w:spacing w:after="40"/>
            </w:pPr>
            <w:r>
              <w:rPr>
                <w:rFonts w:cs="Arial"/>
                <w:sz w:val="22"/>
                <w:szCs w:val="22"/>
              </w:rPr>
              <w:t xml:space="preserve">r = 1/LE; </w:t>
            </w:r>
            <w:proofErr w:type="spellStart"/>
            <w:r>
              <w:rPr>
                <w:rFonts w:cs="Arial"/>
                <w:sz w:val="22"/>
                <w:szCs w:val="22"/>
              </w:rPr>
              <w:t>r_disease</w:t>
            </w:r>
            <w:proofErr w:type="spellEnd"/>
            <w:r>
              <w:rPr>
                <w:rFonts w:cs="Arial"/>
                <w:sz w:val="22"/>
                <w:szCs w:val="22"/>
              </w:rPr>
              <w:t xml:space="preserve"> = 1/</w:t>
            </w:r>
            <w:proofErr w:type="spellStart"/>
            <w:r>
              <w:rPr>
                <w:rFonts w:cs="Arial"/>
                <w:sz w:val="22"/>
                <w:szCs w:val="22"/>
              </w:rPr>
              <w:t>LE_obs</w:t>
            </w:r>
            <w:proofErr w:type="spellEnd"/>
            <w:r>
              <w:rPr>
                <w:rFonts w:cs="Arial"/>
                <w:sz w:val="22"/>
                <w:szCs w:val="22"/>
              </w:rPr>
              <w:t xml:space="preserve"> - 1/</w:t>
            </w:r>
            <w:proofErr w:type="spellStart"/>
            <w:r>
              <w:rPr>
                <w:rFonts w:cs="Arial"/>
                <w:sz w:val="22"/>
                <w:szCs w:val="22"/>
              </w:rPr>
              <w:t>LE_background</w:t>
            </w:r>
            <w:proofErr w:type="spellEnd"/>
          </w:p>
        </w:tc>
      </w:tr>
      <w:tr w:rsidR="00F450F8" w14:paraId="1E745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E9C71" w14:textId="77777777" w:rsidR="00F450F8" w:rsidRDefault="00000000">
            <w:pPr>
              <w:spacing w:after="40"/>
            </w:pPr>
            <w:r>
              <w:rPr>
                <w:rFonts w:cs="Arial"/>
                <w:sz w:val="22"/>
                <w:szCs w:val="22"/>
              </w:rPr>
              <w:t>Beta Fitting (MoM)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46A08" w14:textId="77777777" w:rsidR="00F450F8" w:rsidRDefault="00000000">
            <w:pPr>
              <w:spacing w:after="40"/>
            </w:pPr>
            <w:r>
              <w:rPr>
                <w:rFonts w:cs="Arial"/>
                <w:sz w:val="22"/>
                <w:szCs w:val="22"/>
              </w:rPr>
              <w:t>alpha = mu[(mu(1-mu)/var) - 1], beta = (1-mu)[(mu(1-mu)/var) - 1]</w:t>
            </w:r>
          </w:p>
        </w:tc>
      </w:tr>
      <w:tr w:rsidR="00F450F8" w14:paraId="606EB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AADBE" w14:textId="77777777" w:rsidR="00F450F8" w:rsidRDefault="00000000">
            <w:pPr>
              <w:spacing w:after="40"/>
            </w:pPr>
            <w:r>
              <w:rPr>
                <w:rFonts w:cs="Arial"/>
                <w:sz w:val="22"/>
                <w:szCs w:val="22"/>
              </w:rPr>
              <w:t>Gamma Fitting (MoM)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4228" w14:textId="77777777" w:rsidR="00F450F8" w:rsidRDefault="00000000">
            <w:pPr>
              <w:spacing w:after="40"/>
            </w:pPr>
            <w:r>
              <w:rPr>
                <w:rFonts w:cs="Arial"/>
                <w:sz w:val="22"/>
                <w:szCs w:val="22"/>
              </w:rPr>
              <w:t>shape = (mu/sigma)^2, rate = mu/sigma^2</w:t>
            </w:r>
          </w:p>
        </w:tc>
      </w:tr>
      <w:tr w:rsidR="00F450F8" w14:paraId="334CA1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6C4F0" w14:textId="77777777" w:rsidR="00F450F8" w:rsidRDefault="00000000">
            <w:pPr>
              <w:spacing w:after="40"/>
            </w:pPr>
            <w:r>
              <w:rPr>
                <w:rFonts w:cs="Arial"/>
                <w:sz w:val="22"/>
                <w:szCs w:val="22"/>
              </w:rPr>
              <w:t>Dirichlet (Gamma)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DD54D" w14:textId="77777777" w:rsidR="00F450F8" w:rsidRDefault="00000000">
            <w:pPr>
              <w:spacing w:after="40"/>
            </w:pPr>
            <w:proofErr w:type="spellStart"/>
            <w:r>
              <w:rPr>
                <w:rFonts w:cs="Arial"/>
                <w:sz w:val="22"/>
                <w:szCs w:val="22"/>
              </w:rPr>
              <w:t>X_i</w:t>
            </w:r>
            <w:proofErr w:type="spellEnd"/>
            <w:r>
              <w:rPr>
                <w:rFonts w:cs="Arial"/>
                <w:sz w:val="22"/>
                <w:szCs w:val="22"/>
              </w:rPr>
              <w:t xml:space="preserve"> ~ Gamma(</w:t>
            </w:r>
            <w:proofErr w:type="spellStart"/>
            <w:r>
              <w:rPr>
                <w:rFonts w:cs="Arial"/>
                <w:sz w:val="22"/>
                <w:szCs w:val="22"/>
              </w:rPr>
              <w:t>alpha_i</w:t>
            </w:r>
            <w:proofErr w:type="spellEnd"/>
            <w:r>
              <w:rPr>
                <w:rFonts w:cs="Arial"/>
                <w:sz w:val="22"/>
                <w:szCs w:val="22"/>
              </w:rPr>
              <w:t xml:space="preserve">, 1); </w:t>
            </w:r>
            <w:proofErr w:type="spellStart"/>
            <w:r>
              <w:rPr>
                <w:rFonts w:cs="Arial"/>
                <w:sz w:val="22"/>
                <w:szCs w:val="22"/>
              </w:rPr>
              <w:t>theta_i</w:t>
            </w:r>
            <w:proofErr w:type="spellEnd"/>
            <w:r>
              <w:rPr>
                <w:rFonts w:cs="Arial"/>
                <w:sz w:val="22"/>
                <w:szCs w:val="22"/>
              </w:rPr>
              <w:t xml:space="preserve"> = </w:t>
            </w:r>
            <w:proofErr w:type="spellStart"/>
            <w:r>
              <w:rPr>
                <w:rFonts w:cs="Arial"/>
                <w:sz w:val="22"/>
                <w:szCs w:val="22"/>
              </w:rPr>
              <w:t>X_i</w:t>
            </w:r>
            <w:proofErr w:type="spellEnd"/>
            <w:r>
              <w:rPr>
                <w:rFonts w:cs="Arial"/>
                <w:sz w:val="22"/>
                <w:szCs w:val="22"/>
              </w:rPr>
              <w:t xml:space="preserve"> / sum(X)</w:t>
            </w:r>
          </w:p>
        </w:tc>
      </w:tr>
      <w:tr w:rsidR="00F450F8" w14:paraId="39C454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02E05" w14:textId="77777777" w:rsidR="00F450F8" w:rsidRDefault="00000000">
            <w:pPr>
              <w:spacing w:after="40"/>
            </w:pPr>
            <w:r>
              <w:rPr>
                <w:rFonts w:cs="Arial"/>
                <w:sz w:val="22"/>
                <w:szCs w:val="22"/>
              </w:rPr>
              <w:t>Discounting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23B93" w14:textId="77777777" w:rsidR="00F450F8" w:rsidRDefault="00000000">
            <w:pPr>
              <w:spacing w:after="40"/>
            </w:pPr>
            <w:r>
              <w:rPr>
                <w:rFonts w:cs="Arial"/>
                <w:sz w:val="22"/>
                <w:szCs w:val="22"/>
              </w:rPr>
              <w:t>PV = FV / (1 + r)^t</w:t>
            </w:r>
          </w:p>
        </w:tc>
      </w:tr>
      <w:tr w:rsidR="00F450F8" w14:paraId="163277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4515" w14:textId="77777777" w:rsidR="00F450F8" w:rsidRDefault="00000000">
            <w:pPr>
              <w:spacing w:after="40"/>
            </w:pPr>
            <w:r>
              <w:rPr>
                <w:rFonts w:cs="Arial"/>
                <w:sz w:val="22"/>
                <w:szCs w:val="22"/>
              </w:rPr>
              <w:t>Annuity PV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8138A" w14:textId="77777777" w:rsidR="00F450F8" w:rsidRDefault="00000000">
            <w:pPr>
              <w:spacing w:after="40"/>
            </w:pPr>
            <w:r>
              <w:rPr>
                <w:rFonts w:cs="Arial"/>
                <w:sz w:val="22"/>
                <w:szCs w:val="22"/>
              </w:rPr>
              <w:t>PV = PMT x [1 - (1+r)^(-n)] / r</w:t>
            </w:r>
          </w:p>
        </w:tc>
      </w:tr>
      <w:tr w:rsidR="00F450F8" w14:paraId="5ADC8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1089D" w14:textId="77777777" w:rsidR="00F450F8" w:rsidRDefault="00000000">
            <w:pPr>
              <w:spacing w:after="40"/>
            </w:pPr>
            <w:r>
              <w:rPr>
                <w:rFonts w:cs="Arial"/>
                <w:sz w:val="22"/>
                <w:szCs w:val="22"/>
              </w:rPr>
              <w:t>Inflation (CPI)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2642" w14:textId="77777777" w:rsidR="00F450F8" w:rsidRDefault="00000000">
            <w:pPr>
              <w:spacing w:after="40"/>
            </w:pPr>
            <w:proofErr w:type="spellStart"/>
            <w:r>
              <w:rPr>
                <w:rFonts w:cs="Arial"/>
                <w:sz w:val="22"/>
                <w:szCs w:val="22"/>
              </w:rPr>
              <w:t>Cost_target</w:t>
            </w:r>
            <w:proofErr w:type="spellEnd"/>
            <w:r>
              <w:rPr>
                <w:rFonts w:cs="Arial"/>
                <w:sz w:val="22"/>
                <w:szCs w:val="22"/>
              </w:rPr>
              <w:t xml:space="preserve"> = </w:t>
            </w:r>
            <w:proofErr w:type="spellStart"/>
            <w:r>
              <w:rPr>
                <w:rFonts w:cs="Arial"/>
                <w:sz w:val="22"/>
                <w:szCs w:val="22"/>
              </w:rPr>
              <w:t>Cost_base</w:t>
            </w:r>
            <w:proofErr w:type="spellEnd"/>
            <w:r>
              <w:rPr>
                <w:rFonts w:cs="Arial"/>
                <w:sz w:val="22"/>
                <w:szCs w:val="22"/>
              </w:rPr>
              <w:t xml:space="preserve"> x (</w:t>
            </w:r>
            <w:proofErr w:type="spellStart"/>
            <w:r>
              <w:rPr>
                <w:rFonts w:cs="Arial"/>
                <w:sz w:val="22"/>
                <w:szCs w:val="22"/>
              </w:rPr>
              <w:t>CPI_target</w:t>
            </w:r>
            <w:proofErr w:type="spellEnd"/>
            <w:r>
              <w:rPr>
                <w:rFonts w:cs="Arial"/>
                <w:sz w:val="22"/>
                <w:szCs w:val="22"/>
              </w:rPr>
              <w:t xml:space="preserve"> / </w:t>
            </w:r>
            <w:proofErr w:type="spellStart"/>
            <w:r>
              <w:rPr>
                <w:rFonts w:cs="Arial"/>
                <w:sz w:val="22"/>
                <w:szCs w:val="22"/>
              </w:rPr>
              <w:t>CPI_base</w:t>
            </w:r>
            <w:proofErr w:type="spellEnd"/>
            <w:r>
              <w:rPr>
                <w:rFonts w:cs="Arial"/>
                <w:sz w:val="22"/>
                <w:szCs w:val="22"/>
              </w:rPr>
              <w:t>)</w:t>
            </w:r>
          </w:p>
        </w:tc>
      </w:tr>
      <w:tr w:rsidR="00F450F8" w14:paraId="16014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0B43" w14:textId="77777777" w:rsidR="00F450F8" w:rsidRDefault="00000000">
            <w:pPr>
              <w:spacing w:after="40"/>
            </w:pPr>
            <w:r>
              <w:rPr>
                <w:rFonts w:cs="Arial"/>
                <w:sz w:val="22"/>
                <w:szCs w:val="22"/>
              </w:rPr>
              <w:t>Bayes' Theorem (PPV)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8EA4D" w14:textId="77777777" w:rsidR="00F450F8" w:rsidRDefault="00000000">
            <w:pPr>
              <w:spacing w:after="40"/>
            </w:pPr>
            <w:r>
              <w:rPr>
                <w:rFonts w:cs="Arial"/>
                <w:sz w:val="22"/>
                <w:szCs w:val="22"/>
              </w:rPr>
              <w:t>PPV = (Se x Prev) / [Se x Prev + (1-Sp) x (1-Prev)]</w:t>
            </w:r>
          </w:p>
        </w:tc>
      </w:tr>
      <w:tr w:rsidR="00F450F8" w14:paraId="361D3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2D9B" w14:textId="77777777" w:rsidR="00F450F8" w:rsidRDefault="00000000">
            <w:pPr>
              <w:spacing w:after="40"/>
            </w:pPr>
            <w:r>
              <w:rPr>
                <w:rFonts w:cs="Arial"/>
                <w:sz w:val="22"/>
                <w:szCs w:val="22"/>
              </w:rPr>
              <w:t>ICER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5EC4" w14:textId="77777777" w:rsidR="00F450F8" w:rsidRDefault="00000000">
            <w:pPr>
              <w:spacing w:after="40"/>
            </w:pPr>
            <w:r>
              <w:rPr>
                <w:rFonts w:cs="Arial"/>
                <w:sz w:val="22"/>
                <w:szCs w:val="22"/>
              </w:rPr>
              <w:t xml:space="preserve">ICER = </w:t>
            </w:r>
            <w:proofErr w:type="spellStart"/>
            <w:r>
              <w:rPr>
                <w:rFonts w:cs="Arial"/>
                <w:sz w:val="22"/>
                <w:szCs w:val="22"/>
              </w:rPr>
              <w:t>dC</w:t>
            </w:r>
            <w:proofErr w:type="spellEnd"/>
            <w:r>
              <w:rPr>
                <w:rFonts w:cs="Arial"/>
                <w:sz w:val="22"/>
                <w:szCs w:val="22"/>
              </w:rPr>
              <w:t xml:space="preserve"> / </w:t>
            </w:r>
            <w:proofErr w:type="spellStart"/>
            <w:r>
              <w:rPr>
                <w:rFonts w:cs="Arial"/>
                <w:sz w:val="22"/>
                <w:szCs w:val="22"/>
              </w:rPr>
              <w:t>dE</w:t>
            </w:r>
            <w:proofErr w:type="spellEnd"/>
          </w:p>
        </w:tc>
      </w:tr>
      <w:tr w:rsidR="00F450F8" w14:paraId="04072D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2E2B5" w14:textId="77777777" w:rsidR="00F450F8" w:rsidRDefault="00000000">
            <w:pPr>
              <w:spacing w:after="40"/>
            </w:pPr>
            <w:proofErr w:type="spellStart"/>
            <w:r>
              <w:rPr>
                <w:rFonts w:cs="Arial"/>
                <w:sz w:val="22"/>
                <w:szCs w:val="22"/>
              </w:rPr>
              <w:t>iNMB</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FE66A" w14:textId="77777777" w:rsidR="00F450F8" w:rsidRDefault="00000000">
            <w:pPr>
              <w:spacing w:after="40"/>
            </w:pPr>
            <w:proofErr w:type="spellStart"/>
            <w:r>
              <w:rPr>
                <w:rFonts w:cs="Arial"/>
                <w:sz w:val="22"/>
                <w:szCs w:val="22"/>
              </w:rPr>
              <w:t>iNMB</w:t>
            </w:r>
            <w:proofErr w:type="spellEnd"/>
            <w:r>
              <w:rPr>
                <w:rFonts w:cs="Arial"/>
                <w:sz w:val="22"/>
                <w:szCs w:val="22"/>
              </w:rPr>
              <w:t xml:space="preserve"> = </w:t>
            </w:r>
            <w:proofErr w:type="spellStart"/>
            <w:r>
              <w:rPr>
                <w:rFonts w:cs="Arial"/>
                <w:sz w:val="22"/>
                <w:szCs w:val="22"/>
              </w:rPr>
              <w:t>dE</w:t>
            </w:r>
            <w:proofErr w:type="spellEnd"/>
            <w:r>
              <w:rPr>
                <w:rFonts w:cs="Arial"/>
                <w:sz w:val="22"/>
                <w:szCs w:val="22"/>
              </w:rPr>
              <w:t xml:space="preserve"> x WTP - </w:t>
            </w:r>
            <w:proofErr w:type="spellStart"/>
            <w:r>
              <w:rPr>
                <w:rFonts w:cs="Arial"/>
                <w:sz w:val="22"/>
                <w:szCs w:val="22"/>
              </w:rPr>
              <w:t>dC</w:t>
            </w:r>
            <w:proofErr w:type="spellEnd"/>
          </w:p>
        </w:tc>
      </w:tr>
      <w:tr w:rsidR="00F450F8" w14:paraId="2A7B2A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7BB26" w14:textId="77777777" w:rsidR="00F450F8" w:rsidRDefault="00000000">
            <w:pPr>
              <w:spacing w:after="40"/>
            </w:pPr>
            <w:r>
              <w:rPr>
                <w:rFonts w:cs="Arial"/>
                <w:sz w:val="22"/>
                <w:szCs w:val="22"/>
              </w:rPr>
              <w:t>Headroom Price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3734C" w14:textId="77777777" w:rsidR="00F450F8" w:rsidRDefault="00000000">
            <w:pPr>
              <w:spacing w:after="40"/>
            </w:pPr>
            <w:proofErr w:type="spellStart"/>
            <w:r>
              <w:rPr>
                <w:rFonts w:cs="Arial"/>
                <w:sz w:val="22"/>
                <w:szCs w:val="22"/>
              </w:rPr>
              <w:t>P_max</w:t>
            </w:r>
            <w:proofErr w:type="spellEnd"/>
            <w:r>
              <w:rPr>
                <w:rFonts w:cs="Arial"/>
                <w:sz w:val="22"/>
                <w:szCs w:val="22"/>
              </w:rPr>
              <w:t xml:space="preserve"> = (</w:t>
            </w:r>
            <w:proofErr w:type="spellStart"/>
            <w:r>
              <w:rPr>
                <w:rFonts w:cs="Arial"/>
                <w:sz w:val="22"/>
                <w:szCs w:val="22"/>
              </w:rPr>
              <w:t>dE</w:t>
            </w:r>
            <w:proofErr w:type="spellEnd"/>
            <w:r>
              <w:rPr>
                <w:rFonts w:cs="Arial"/>
                <w:sz w:val="22"/>
                <w:szCs w:val="22"/>
              </w:rPr>
              <w:t xml:space="preserve"> x WTP - </w:t>
            </w:r>
            <w:proofErr w:type="spellStart"/>
            <w:r>
              <w:rPr>
                <w:rFonts w:cs="Arial"/>
                <w:sz w:val="22"/>
                <w:szCs w:val="22"/>
              </w:rPr>
              <w:t>dC_other</w:t>
            </w:r>
            <w:proofErr w:type="spellEnd"/>
            <w:r>
              <w:rPr>
                <w:rFonts w:cs="Arial"/>
                <w:sz w:val="22"/>
                <w:szCs w:val="22"/>
              </w:rPr>
              <w:t xml:space="preserve">) / </w:t>
            </w:r>
            <w:proofErr w:type="spellStart"/>
            <w:r>
              <w:rPr>
                <w:rFonts w:cs="Arial"/>
                <w:sz w:val="22"/>
                <w:szCs w:val="22"/>
              </w:rPr>
              <w:t>N_cycles</w:t>
            </w:r>
            <w:proofErr w:type="spellEnd"/>
          </w:p>
        </w:tc>
      </w:tr>
      <w:tr w:rsidR="00F450F8" w14:paraId="566160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22024" w14:textId="77777777" w:rsidR="00F450F8" w:rsidRDefault="00000000">
            <w:pPr>
              <w:spacing w:after="40"/>
            </w:pPr>
            <w:r>
              <w:rPr>
                <w:rFonts w:cs="Arial"/>
                <w:sz w:val="22"/>
                <w:szCs w:val="22"/>
              </w:rPr>
              <w:t>BIA (ISPOR)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D4F4" w14:textId="77777777" w:rsidR="00F450F8" w:rsidRDefault="00000000">
            <w:pPr>
              <w:spacing w:after="40"/>
            </w:pPr>
            <w:proofErr w:type="spellStart"/>
            <w:r>
              <w:rPr>
                <w:rFonts w:cs="Arial"/>
                <w:sz w:val="22"/>
                <w:szCs w:val="22"/>
              </w:rPr>
              <w:t>BI_t</w:t>
            </w:r>
            <w:proofErr w:type="spellEnd"/>
            <w:r>
              <w:rPr>
                <w:rFonts w:cs="Arial"/>
                <w:sz w:val="22"/>
                <w:szCs w:val="22"/>
              </w:rPr>
              <w:t xml:space="preserve"> = </w:t>
            </w:r>
            <w:proofErr w:type="spellStart"/>
            <w:r>
              <w:rPr>
                <w:rFonts w:cs="Arial"/>
                <w:sz w:val="22"/>
                <w:szCs w:val="22"/>
              </w:rPr>
              <w:t>N_elig</w:t>
            </w:r>
            <w:proofErr w:type="spellEnd"/>
            <w:r>
              <w:rPr>
                <w:rFonts w:cs="Arial"/>
                <w:sz w:val="22"/>
                <w:szCs w:val="22"/>
              </w:rPr>
              <w:t xml:space="preserve"> x </w:t>
            </w:r>
            <w:proofErr w:type="spellStart"/>
            <w:r>
              <w:rPr>
                <w:rFonts w:cs="Arial"/>
                <w:sz w:val="22"/>
                <w:szCs w:val="22"/>
              </w:rPr>
              <w:t>uptake_t</w:t>
            </w:r>
            <w:proofErr w:type="spellEnd"/>
            <w:r>
              <w:rPr>
                <w:rFonts w:cs="Arial"/>
                <w:sz w:val="22"/>
                <w:szCs w:val="22"/>
              </w:rPr>
              <w:t xml:space="preserve"> x (</w:t>
            </w:r>
            <w:proofErr w:type="spellStart"/>
            <w:r>
              <w:rPr>
                <w:rFonts w:cs="Arial"/>
                <w:sz w:val="22"/>
                <w:szCs w:val="22"/>
              </w:rPr>
              <w:t>C_new</w:t>
            </w:r>
            <w:proofErr w:type="spellEnd"/>
            <w:r>
              <w:rPr>
                <w:rFonts w:cs="Arial"/>
                <w:sz w:val="22"/>
                <w:szCs w:val="22"/>
              </w:rPr>
              <w:t xml:space="preserve"> - </w:t>
            </w:r>
            <w:proofErr w:type="spellStart"/>
            <w:r>
              <w:rPr>
                <w:rFonts w:cs="Arial"/>
                <w:sz w:val="22"/>
                <w:szCs w:val="22"/>
              </w:rPr>
              <w:t>C_current</w:t>
            </w:r>
            <w:proofErr w:type="spellEnd"/>
            <w:r>
              <w:rPr>
                <w:rFonts w:cs="Arial"/>
                <w:sz w:val="22"/>
                <w:szCs w:val="22"/>
              </w:rPr>
              <w:t>)</w:t>
            </w:r>
          </w:p>
        </w:tc>
      </w:tr>
      <w:tr w:rsidR="00F450F8" w14:paraId="0521F5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0EED" w14:textId="77777777" w:rsidR="00F450F8" w:rsidRDefault="00000000">
            <w:pPr>
              <w:spacing w:after="40"/>
            </w:pPr>
            <w:r>
              <w:rPr>
                <w:rFonts w:cs="Arial"/>
                <w:sz w:val="22"/>
                <w:szCs w:val="22"/>
              </w:rPr>
              <w:t>PPP Conversion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7833A" w14:textId="77777777" w:rsidR="00F450F8" w:rsidRDefault="00000000">
            <w:pPr>
              <w:spacing w:after="40"/>
            </w:pPr>
            <w:proofErr w:type="spellStart"/>
            <w:r>
              <w:rPr>
                <w:rFonts w:cs="Arial"/>
                <w:sz w:val="22"/>
                <w:szCs w:val="22"/>
              </w:rPr>
              <w:t>Cost_target</w:t>
            </w:r>
            <w:proofErr w:type="spellEnd"/>
            <w:r>
              <w:rPr>
                <w:rFonts w:cs="Arial"/>
                <w:sz w:val="22"/>
                <w:szCs w:val="22"/>
              </w:rPr>
              <w:t xml:space="preserve"> = </w:t>
            </w:r>
            <w:proofErr w:type="spellStart"/>
            <w:r>
              <w:rPr>
                <w:rFonts w:cs="Arial"/>
                <w:sz w:val="22"/>
                <w:szCs w:val="22"/>
              </w:rPr>
              <w:t>Cost_source</w:t>
            </w:r>
            <w:proofErr w:type="spellEnd"/>
            <w:r>
              <w:rPr>
                <w:rFonts w:cs="Arial"/>
                <w:sz w:val="22"/>
                <w:szCs w:val="22"/>
              </w:rPr>
              <w:t xml:space="preserve"> x (</w:t>
            </w:r>
            <w:proofErr w:type="spellStart"/>
            <w:r>
              <w:rPr>
                <w:rFonts w:cs="Arial"/>
                <w:sz w:val="22"/>
                <w:szCs w:val="22"/>
              </w:rPr>
              <w:t>PPP_target</w:t>
            </w:r>
            <w:proofErr w:type="spellEnd"/>
            <w:r>
              <w:rPr>
                <w:rFonts w:cs="Arial"/>
                <w:sz w:val="22"/>
                <w:szCs w:val="22"/>
              </w:rPr>
              <w:t xml:space="preserve"> / </w:t>
            </w:r>
            <w:proofErr w:type="spellStart"/>
            <w:r>
              <w:rPr>
                <w:rFonts w:cs="Arial"/>
                <w:sz w:val="22"/>
                <w:szCs w:val="22"/>
              </w:rPr>
              <w:t>PPP_source</w:t>
            </w:r>
            <w:proofErr w:type="spellEnd"/>
            <w:r>
              <w:rPr>
                <w:rFonts w:cs="Arial"/>
                <w:sz w:val="22"/>
                <w:szCs w:val="22"/>
              </w:rPr>
              <w:t>)</w:t>
            </w:r>
          </w:p>
        </w:tc>
      </w:tr>
    </w:tbl>
    <w:p w14:paraId="02D605E2" w14:textId="77777777" w:rsidR="00F450F8" w:rsidRDefault="00000000">
      <w:pPr>
        <w:spacing w:after="200" w:line="276" w:lineRule="auto"/>
        <w:jc w:val="both"/>
      </w:pPr>
      <w:r>
        <w:rPr>
          <w:rFonts w:cs="Arial"/>
          <w:i/>
          <w:iCs/>
        </w:rPr>
        <w:lastRenderedPageBreak/>
        <w:t xml:space="preserve">MoM = Method of Moments; Se = Sensitivity; </w:t>
      </w:r>
      <w:proofErr w:type="spellStart"/>
      <w:r>
        <w:rPr>
          <w:rFonts w:cs="Arial"/>
          <w:i/>
          <w:iCs/>
        </w:rPr>
        <w:t>Sp</w:t>
      </w:r>
      <w:proofErr w:type="spellEnd"/>
      <w:r>
        <w:rPr>
          <w:rFonts w:cs="Arial"/>
          <w:i/>
          <w:iCs/>
        </w:rPr>
        <w:t xml:space="preserve"> = Specificity; Prev = Prevalence; WTP = Willingness-to-Pay threshold; E = total events; PMT = payment per period.</w:t>
      </w:r>
    </w:p>
    <w:p w14:paraId="67AC528A" w14:textId="77777777" w:rsidR="00F450F8" w:rsidRDefault="00000000">
      <w:r>
        <w:br w:type="page"/>
      </w:r>
    </w:p>
    <w:p w14:paraId="58E7751D" w14:textId="77777777" w:rsidR="00F450F8" w:rsidRDefault="00000000">
      <w:pPr>
        <w:pStyle w:val="Heading1"/>
      </w:pPr>
      <w:r>
        <w:lastRenderedPageBreak/>
        <w:t>PLATFORM FEATURES AND FUNCTIONALITY</w:t>
      </w:r>
    </w:p>
    <w:p w14:paraId="4284C97A" w14:textId="77777777" w:rsidR="00F450F8" w:rsidRDefault="00000000">
      <w:pPr>
        <w:spacing w:after="200" w:line="276" w:lineRule="auto"/>
        <w:jc w:val="both"/>
      </w:pPr>
      <w:proofErr w:type="spellStart"/>
      <w:r>
        <w:rPr>
          <w:rFonts w:cs="Arial"/>
        </w:rPr>
        <w:t>ParCC</w:t>
      </w:r>
      <w:proofErr w:type="spellEnd"/>
      <w:r>
        <w:rPr>
          <w:rFonts w:cs="Arial"/>
        </w:rPr>
        <w:t xml:space="preserve"> organizes its analytical functions into ten interface modules housing sixteen distinct capabilities (Table 3), each addressing a specific category of HTA calculation. What follows describes each module's purpose, the problem it solves, and its practical value, organized roughly in the sequence encountered when building an economic model.</w:t>
      </w:r>
    </w:p>
    <w:p w14:paraId="7B323564" w14:textId="77777777" w:rsidR="00F450F8" w:rsidRDefault="00000000">
      <w:pPr>
        <w:spacing w:after="200" w:line="276" w:lineRule="auto"/>
        <w:jc w:val="both"/>
      </w:pPr>
      <w:r>
        <w:rPr>
          <w:rFonts w:cs="Arial"/>
          <w:b/>
          <w:bCs/>
        </w:rPr>
        <w:t xml:space="preserve">Table 3: Overview of </w:t>
      </w:r>
      <w:proofErr w:type="spellStart"/>
      <w:r>
        <w:rPr>
          <w:rFonts w:cs="Arial"/>
          <w:b/>
          <w:bCs/>
        </w:rPr>
        <w:t>ParCC's</w:t>
      </w:r>
      <w:proofErr w:type="spellEnd"/>
      <w:r>
        <w:rPr>
          <w:rFonts w:cs="Arial"/>
          <w:b/>
          <w:bCs/>
        </w:rPr>
        <w:t xml:space="preserve"> Analytical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F450F8" w14:paraId="1F079E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3748FE" w14:textId="77777777" w:rsidR="00F450F8" w:rsidRDefault="00000000">
            <w:pPr>
              <w:spacing w:after="40"/>
            </w:pPr>
            <w:r>
              <w:rPr>
                <w:rFonts w:cs="Arial"/>
                <w:b/>
                <w:bCs/>
                <w:sz w:val="22"/>
                <w:szCs w:val="22"/>
              </w:rPr>
              <w:t>Module</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F8284A" w14:textId="77777777" w:rsidR="00F450F8" w:rsidRDefault="00000000">
            <w:pPr>
              <w:spacing w:after="40"/>
            </w:pPr>
            <w:r>
              <w:rPr>
                <w:rFonts w:cs="Arial"/>
                <w:b/>
                <w:bCs/>
                <w:sz w:val="22"/>
                <w:szCs w:val="22"/>
              </w:rPr>
              <w:t>Capabilities</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2E8DEE" w14:textId="77777777" w:rsidR="00F450F8" w:rsidRDefault="00000000">
            <w:pPr>
              <w:spacing w:after="40"/>
            </w:pPr>
            <w:r>
              <w:rPr>
                <w:rFonts w:cs="Arial"/>
                <w:b/>
                <w:bCs/>
                <w:sz w:val="22"/>
                <w:szCs w:val="22"/>
              </w:rPr>
              <w:t>Key Outputs</w:t>
            </w:r>
          </w:p>
        </w:tc>
      </w:tr>
      <w:tr w:rsidR="00F450F8" w14:paraId="62D3A1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FA31" w14:textId="77777777" w:rsidR="00F450F8" w:rsidRDefault="00000000">
            <w:pPr>
              <w:spacing w:after="40"/>
            </w:pPr>
            <w:r>
              <w:rPr>
                <w:rFonts w:cs="Arial"/>
                <w:sz w:val="22"/>
                <w:szCs w:val="22"/>
              </w:rPr>
              <w:t>Core Converters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DC898" w14:textId="77777777" w:rsidR="00F450F8" w:rsidRDefault="00000000">
            <w:pPr>
              <w:spacing w:after="40"/>
            </w:pPr>
            <w:r>
              <w:rPr>
                <w:rFonts w:cs="Arial"/>
                <w:sz w:val="22"/>
                <w:szCs w:val="22"/>
              </w:rPr>
              <w:t>Rate-probability (exponential), odds-probability, temporal rescaling, OR-to-RR (Zhang &amp; Yu), SMD-to-log(OR) (Chinn)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6229" w14:textId="77777777" w:rsidR="00F450F8" w:rsidRDefault="00000000">
            <w:pPr>
              <w:spacing w:after="40"/>
            </w:pPr>
            <w:r>
              <w:rPr>
                <w:rFonts w:cs="Arial"/>
                <w:sz w:val="22"/>
                <w:szCs w:val="22"/>
              </w:rPr>
              <w:t>Transition probabilities, effect measures for NMA</w:t>
            </w:r>
          </w:p>
        </w:tc>
      </w:tr>
      <w:tr w:rsidR="00F450F8" w14:paraId="290D6F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30651" w14:textId="77777777" w:rsidR="00F450F8" w:rsidRDefault="00000000">
            <w:pPr>
              <w:spacing w:after="40"/>
            </w:pPr>
            <w:r>
              <w:rPr>
                <w:rFonts w:cs="Arial"/>
                <w:sz w:val="22"/>
                <w:szCs w:val="22"/>
              </w:rPr>
              <w:t>HR Converter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5140" w14:textId="77777777" w:rsidR="00F450F8" w:rsidRDefault="00000000">
            <w:pPr>
              <w:spacing w:after="40"/>
            </w:pPr>
            <w:r>
              <w:rPr>
                <w:rFonts w:cs="Arial"/>
                <w:sz w:val="22"/>
                <w:szCs w:val="22"/>
              </w:rPr>
              <w:t>HR-to-probability (proportional hazards), CI propagation, ARR/NNT, multi-HR comparison, log-rank-to-HR (Peto), standalone NNT from 4 input modes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FFCE" w14:textId="77777777" w:rsidR="00F450F8" w:rsidRDefault="00000000">
            <w:pPr>
              <w:spacing w:after="40"/>
            </w:pPr>
            <w:r>
              <w:rPr>
                <w:rFonts w:cs="Arial"/>
                <w:sz w:val="22"/>
                <w:szCs w:val="22"/>
              </w:rPr>
              <w:t>Intervention probabilities with CI, ARR, NNT, HR estimates</w:t>
            </w:r>
          </w:p>
        </w:tc>
      </w:tr>
      <w:tr w:rsidR="00F450F8" w14:paraId="7F411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80ABC" w14:textId="77777777" w:rsidR="00F450F8" w:rsidRDefault="00000000">
            <w:pPr>
              <w:spacing w:after="40"/>
            </w:pPr>
            <w:r>
              <w:rPr>
                <w:rFonts w:cs="Arial"/>
                <w:sz w:val="22"/>
                <w:szCs w:val="22"/>
              </w:rPr>
              <w:t>Survival Analysis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854C" w14:textId="77777777" w:rsidR="00F450F8" w:rsidRDefault="00000000">
            <w:pPr>
              <w:spacing w:after="40"/>
            </w:pPr>
            <w:r>
              <w:rPr>
                <w:rFonts w:cs="Arial"/>
                <w:sz w:val="22"/>
                <w:szCs w:val="22"/>
              </w:rPr>
              <w:t>Exponential, Weibull (log-log), Log-Logistic fitting from two KM time-points; non-monotonic hazard support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7486" w14:textId="77777777" w:rsidR="00F450F8" w:rsidRDefault="00000000">
            <w:pPr>
              <w:spacing w:after="40"/>
            </w:pPr>
            <w:r>
              <w:rPr>
                <w:rFonts w:cs="Arial"/>
                <w:sz w:val="22"/>
                <w:szCs w:val="22"/>
              </w:rPr>
              <w:t>Shape/scale parameters, survival curves, median survival</w:t>
            </w:r>
          </w:p>
        </w:tc>
      </w:tr>
      <w:tr w:rsidR="00F450F8" w14:paraId="5ED725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72DFE" w14:textId="77777777" w:rsidR="00F450F8" w:rsidRDefault="00000000">
            <w:pPr>
              <w:spacing w:after="40"/>
            </w:pPr>
            <w:r>
              <w:rPr>
                <w:rFonts w:cs="Arial"/>
                <w:sz w:val="22"/>
                <w:szCs w:val="22"/>
              </w:rPr>
              <w:t>Background Mortality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C75C3" w14:textId="77777777" w:rsidR="00F450F8" w:rsidRDefault="00000000">
            <w:pPr>
              <w:spacing w:after="40"/>
            </w:pPr>
            <w:r>
              <w:rPr>
                <w:rFonts w:cs="Arial"/>
                <w:sz w:val="22"/>
                <w:szCs w:val="22"/>
              </w:rPr>
              <w:t>SMR adjustment, linear interpolation, Gompertz parameterization, DEALE excess-rate decomposition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EA9DC" w14:textId="77777777" w:rsidR="00F450F8" w:rsidRDefault="00000000">
            <w:pPr>
              <w:spacing w:after="40"/>
            </w:pPr>
            <w:r>
              <w:rPr>
                <w:rFonts w:cs="Arial"/>
                <w:sz w:val="22"/>
                <w:szCs w:val="22"/>
              </w:rPr>
              <w:t>Age-specific mortality rates and probabilities</w:t>
            </w:r>
          </w:p>
        </w:tc>
      </w:tr>
      <w:tr w:rsidR="00F450F8" w14:paraId="390FD1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A6620" w14:textId="77777777" w:rsidR="00F450F8" w:rsidRDefault="00000000">
            <w:pPr>
              <w:spacing w:after="40"/>
            </w:pPr>
            <w:r>
              <w:rPr>
                <w:rFonts w:cs="Arial"/>
                <w:sz w:val="22"/>
                <w:szCs w:val="22"/>
              </w:rPr>
              <w:t>PSA Distributions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CCA05" w14:textId="77777777" w:rsidR="00F450F8" w:rsidRDefault="00000000">
            <w:pPr>
              <w:spacing w:after="40"/>
            </w:pPr>
            <w:r>
              <w:rPr>
                <w:rFonts w:cs="Arial"/>
                <w:sz w:val="22"/>
                <w:szCs w:val="22"/>
              </w:rPr>
              <w:t xml:space="preserve">Beta (utilities), Gamma (costs), </w:t>
            </w:r>
            <w:proofErr w:type="spellStart"/>
            <w:r>
              <w:rPr>
                <w:rFonts w:cs="Arial"/>
                <w:sz w:val="22"/>
                <w:szCs w:val="22"/>
              </w:rPr>
              <w:t>LogNormal</w:t>
            </w:r>
            <w:proofErr w:type="spellEnd"/>
            <w:r>
              <w:rPr>
                <w:rFonts w:cs="Arial"/>
                <w:sz w:val="22"/>
                <w:szCs w:val="22"/>
              </w:rPr>
              <w:t xml:space="preserve"> (HRs) via MoM; Dirichlet for multinomial transition matrices via Gamma decomposition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EE6FA" w14:textId="77777777" w:rsidR="00F450F8" w:rsidRDefault="00000000">
            <w:pPr>
              <w:spacing w:after="40"/>
            </w:pPr>
            <w:r>
              <w:rPr>
                <w:rFonts w:cs="Arial"/>
                <w:sz w:val="22"/>
                <w:szCs w:val="22"/>
              </w:rPr>
              <w:t>Distribution parameters, density plots, R sampling code</w:t>
            </w:r>
          </w:p>
        </w:tc>
      </w:tr>
      <w:tr w:rsidR="00F450F8" w14:paraId="054A2D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101F5" w14:textId="77777777" w:rsidR="00F450F8" w:rsidRDefault="00000000">
            <w:pPr>
              <w:spacing w:after="40"/>
            </w:pPr>
            <w:r>
              <w:rPr>
                <w:rFonts w:cs="Arial"/>
                <w:sz w:val="22"/>
                <w:szCs w:val="22"/>
              </w:rPr>
              <w:t>Financial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EDEC" w14:textId="77777777" w:rsidR="00F450F8" w:rsidRDefault="00000000">
            <w:pPr>
              <w:spacing w:after="40"/>
            </w:pPr>
            <w:r>
              <w:rPr>
                <w:rFonts w:cs="Arial"/>
                <w:sz w:val="22"/>
                <w:szCs w:val="22"/>
              </w:rPr>
              <w:t>Discounting (present value), inflation (compound rate and CPI methods), annuity/PV stream calculator (ordinary and annuity due)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82904" w14:textId="77777777" w:rsidR="00F450F8" w:rsidRDefault="00000000">
            <w:pPr>
              <w:spacing w:after="40"/>
            </w:pPr>
            <w:r>
              <w:rPr>
                <w:rFonts w:cs="Arial"/>
                <w:sz w:val="22"/>
                <w:szCs w:val="22"/>
              </w:rPr>
              <w:t>Adjusted cost values, present value of recurring costs</w:t>
            </w:r>
          </w:p>
        </w:tc>
      </w:tr>
      <w:tr w:rsidR="00F450F8" w14:paraId="73F74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AF107" w14:textId="77777777" w:rsidR="00F450F8" w:rsidRDefault="00000000">
            <w:pPr>
              <w:spacing w:after="40"/>
            </w:pPr>
            <w:r>
              <w:rPr>
                <w:rFonts w:cs="Arial"/>
                <w:sz w:val="22"/>
                <w:szCs w:val="22"/>
              </w:rPr>
              <w:t>Diagnostics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5268" w14:textId="77777777" w:rsidR="00F450F8" w:rsidRDefault="00000000">
            <w:pPr>
              <w:spacing w:after="40"/>
            </w:pPr>
            <w:r>
              <w:rPr>
                <w:rFonts w:cs="Arial"/>
                <w:sz w:val="22"/>
                <w:szCs w:val="22"/>
              </w:rPr>
              <w:t>PPV/NPV from sensitivity, specificity, prevalence; natural frequencies; likelihood ratios; prevalence-PPV curves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5330" w14:textId="77777777" w:rsidR="00F450F8" w:rsidRDefault="00000000">
            <w:pPr>
              <w:spacing w:after="40"/>
            </w:pPr>
            <w:r>
              <w:rPr>
                <w:rFonts w:cs="Arial"/>
                <w:sz w:val="22"/>
                <w:szCs w:val="22"/>
              </w:rPr>
              <w:t>Predictive values, deployment thresholds</w:t>
            </w:r>
          </w:p>
        </w:tc>
      </w:tr>
      <w:tr w:rsidR="00F450F8" w14:paraId="2EC8D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01CEF" w14:textId="77777777" w:rsidR="00F450F8" w:rsidRDefault="00000000">
            <w:pPr>
              <w:spacing w:after="40"/>
            </w:pPr>
            <w:r>
              <w:rPr>
                <w:rFonts w:cs="Arial"/>
                <w:sz w:val="22"/>
                <w:szCs w:val="22"/>
              </w:rPr>
              <w:t>ICER / NMB</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2E280" w14:textId="77777777" w:rsidR="00F450F8" w:rsidRDefault="00000000">
            <w:pPr>
              <w:spacing w:after="40"/>
            </w:pPr>
            <w:r>
              <w:rPr>
                <w:rFonts w:cs="Arial"/>
                <w:sz w:val="22"/>
                <w:szCs w:val="22"/>
              </w:rPr>
              <w:t>Incremental cost-effectiveness ratio, incremental net monetary benefit, CE plane classification, dominance detection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83512" w14:textId="77777777" w:rsidR="00F450F8" w:rsidRDefault="00000000">
            <w:pPr>
              <w:spacing w:after="40"/>
            </w:pPr>
            <w:r>
              <w:rPr>
                <w:rFonts w:cs="Arial"/>
                <w:sz w:val="22"/>
                <w:szCs w:val="22"/>
              </w:rPr>
              <w:t xml:space="preserve">ICER, </w:t>
            </w:r>
            <w:proofErr w:type="spellStart"/>
            <w:r>
              <w:rPr>
                <w:rFonts w:cs="Arial"/>
                <w:sz w:val="22"/>
                <w:szCs w:val="22"/>
              </w:rPr>
              <w:t>iNMB</w:t>
            </w:r>
            <w:proofErr w:type="spellEnd"/>
            <w:r>
              <w:rPr>
                <w:rFonts w:cs="Arial"/>
                <w:sz w:val="22"/>
                <w:szCs w:val="22"/>
              </w:rPr>
              <w:t>, decision rule</w:t>
            </w:r>
          </w:p>
        </w:tc>
      </w:tr>
      <w:tr w:rsidR="00F450F8" w14:paraId="2EFAFA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26D9" w14:textId="77777777" w:rsidR="00F450F8" w:rsidRDefault="00000000">
            <w:pPr>
              <w:spacing w:after="40"/>
            </w:pPr>
            <w:r>
              <w:rPr>
                <w:rFonts w:cs="Arial"/>
                <w:sz w:val="22"/>
                <w:szCs w:val="22"/>
              </w:rPr>
              <w:t>Value-Based Pricing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31FD" w14:textId="77777777" w:rsidR="00F450F8" w:rsidRDefault="00000000">
            <w:pPr>
              <w:spacing w:after="40"/>
            </w:pPr>
            <w:r>
              <w:rPr>
                <w:rFonts w:cs="Arial"/>
                <w:sz w:val="22"/>
                <w:szCs w:val="22"/>
              </w:rPr>
              <w:t>Headroom analysis, maximum justifiable price, WTP breakeven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BAAF9" w14:textId="77777777" w:rsidR="00F450F8" w:rsidRDefault="00000000">
            <w:pPr>
              <w:spacing w:after="40"/>
            </w:pPr>
            <w:r>
              <w:rPr>
                <w:rFonts w:cs="Arial"/>
                <w:sz w:val="22"/>
                <w:szCs w:val="22"/>
              </w:rPr>
              <w:t>Price ceiling, breakeven WTP</w:t>
            </w:r>
          </w:p>
        </w:tc>
      </w:tr>
      <w:tr w:rsidR="00F450F8" w14:paraId="10A12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E9939" w14:textId="77777777" w:rsidR="00F450F8" w:rsidRDefault="00000000">
            <w:pPr>
              <w:spacing w:after="40"/>
            </w:pPr>
            <w:r>
              <w:rPr>
                <w:rFonts w:cs="Arial"/>
                <w:sz w:val="22"/>
                <w:szCs w:val="22"/>
              </w:rPr>
              <w:lastRenderedPageBreak/>
              <w:t>Budget Impact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92035" w14:textId="77777777" w:rsidR="00F450F8" w:rsidRDefault="00000000">
            <w:pPr>
              <w:spacing w:after="40"/>
            </w:pPr>
            <w:r>
              <w:rPr>
                <w:rFonts w:cs="Arial"/>
                <w:sz w:val="22"/>
                <w:szCs w:val="22"/>
              </w:rPr>
              <w:t>ISPOR BIA framework: eligible population sizing, 1-5 year time horizon, market uptake trajectories, optional discounting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57EE1" w14:textId="77777777" w:rsidR="00F450F8" w:rsidRDefault="00000000">
            <w:pPr>
              <w:spacing w:after="40"/>
            </w:pPr>
            <w:r>
              <w:rPr>
                <w:rFonts w:cs="Arial"/>
                <w:sz w:val="22"/>
                <w:szCs w:val="22"/>
              </w:rPr>
              <w:t>Year-by-year and cumulative budget impact</w:t>
            </w:r>
          </w:p>
        </w:tc>
      </w:tr>
      <w:tr w:rsidR="00F450F8" w14:paraId="45FBB5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B8DDC" w14:textId="77777777" w:rsidR="00F450F8" w:rsidRDefault="00000000">
            <w:pPr>
              <w:spacing w:after="40"/>
            </w:pPr>
            <w:r>
              <w:rPr>
                <w:rFonts w:cs="Arial"/>
                <w:sz w:val="22"/>
                <w:szCs w:val="22"/>
              </w:rPr>
              <w:t>PPP Converter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DDF9A" w14:textId="77777777" w:rsidR="00F450F8" w:rsidRDefault="00000000">
            <w:pPr>
              <w:spacing w:after="40"/>
            </w:pPr>
            <w:r>
              <w:rPr>
                <w:rFonts w:cs="Arial"/>
                <w:sz w:val="22"/>
                <w:szCs w:val="22"/>
              </w:rPr>
              <w:t>PPP conversion across 30 countries (World Bank 2022 ICP), market FX comparison, WHO-CHOICE WTP thresholds (1x and 3x GDP/capita)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F702" w14:textId="77777777" w:rsidR="00F450F8" w:rsidRDefault="00000000">
            <w:pPr>
              <w:spacing w:after="40"/>
            </w:pPr>
            <w:r>
              <w:rPr>
                <w:rFonts w:cs="Arial"/>
                <w:sz w:val="22"/>
                <w:szCs w:val="22"/>
              </w:rPr>
              <w:t>PPP-adjusted costs, CE threshold assessment</w:t>
            </w:r>
          </w:p>
        </w:tc>
      </w:tr>
      <w:tr w:rsidR="00F450F8" w14:paraId="1BAF2C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0549D" w14:textId="77777777" w:rsidR="00F450F8" w:rsidRDefault="00000000">
            <w:pPr>
              <w:spacing w:after="40"/>
            </w:pPr>
            <w:r>
              <w:rPr>
                <w:rFonts w:cs="Arial"/>
                <w:sz w:val="22"/>
                <w:szCs w:val="22"/>
              </w:rPr>
              <w:t>Batch Processing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F85B" w14:textId="77777777" w:rsidR="00F450F8" w:rsidRDefault="00000000">
            <w:pPr>
              <w:spacing w:after="40"/>
            </w:pPr>
            <w:r>
              <w:rPr>
                <w:rFonts w:cs="Arial"/>
                <w:sz w:val="22"/>
                <w:szCs w:val="22"/>
              </w:rPr>
              <w:t>CSV upload for bulk rate-probability, odds-probability, and HR-based conversions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6956C" w14:textId="77777777" w:rsidR="00F450F8" w:rsidRDefault="00000000">
            <w:pPr>
              <w:spacing w:after="40"/>
            </w:pPr>
            <w:r>
              <w:rPr>
                <w:rFonts w:cs="Arial"/>
                <w:sz w:val="22"/>
                <w:szCs w:val="22"/>
              </w:rPr>
              <w:t>Processed dataset (CSV download)</w:t>
            </w:r>
          </w:p>
        </w:tc>
      </w:tr>
      <w:tr w:rsidR="00F450F8" w14:paraId="0EFC8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428B2" w14:textId="77777777" w:rsidR="00F450F8" w:rsidRDefault="00000000">
            <w:pPr>
              <w:spacing w:after="40"/>
            </w:pPr>
            <w:r>
              <w:rPr>
                <w:rFonts w:cs="Arial"/>
                <w:sz w:val="22"/>
                <w:szCs w:val="22"/>
              </w:rPr>
              <w:t>Lab Notebook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0584" w14:textId="77777777" w:rsidR="00F450F8" w:rsidRDefault="00000000">
            <w:pPr>
              <w:spacing w:after="40"/>
            </w:pPr>
            <w:r>
              <w:rPr>
                <w:rFonts w:cs="Arial"/>
                <w:sz w:val="22"/>
                <w:szCs w:val="22"/>
              </w:rPr>
              <w:t>Automatic logging of all calculations with inputs, outputs, timestamps, formulas, citations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24C0E" w14:textId="77777777" w:rsidR="00F450F8" w:rsidRDefault="00000000">
            <w:pPr>
              <w:spacing w:after="40"/>
            </w:pPr>
            <w:r>
              <w:rPr>
                <w:rFonts w:cs="Arial"/>
                <w:sz w:val="22"/>
                <w:szCs w:val="22"/>
              </w:rPr>
              <w:t>Downloadable HTML audit trail</w:t>
            </w:r>
          </w:p>
        </w:tc>
      </w:tr>
      <w:tr w:rsidR="00F450F8" w14:paraId="6B3230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1B3CB" w14:textId="77777777" w:rsidR="00F450F8" w:rsidRDefault="00000000">
            <w:pPr>
              <w:spacing w:after="40"/>
            </w:pPr>
            <w:r>
              <w:rPr>
                <w:rFonts w:cs="Arial"/>
                <w:sz w:val="22"/>
                <w:szCs w:val="22"/>
              </w:rPr>
              <w:t>Global Currency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18BD" w14:textId="77777777" w:rsidR="00F450F8" w:rsidRDefault="00000000">
            <w:pPr>
              <w:spacing w:after="40"/>
            </w:pPr>
            <w:r>
              <w:rPr>
                <w:rFonts w:cs="Arial"/>
                <w:sz w:val="22"/>
                <w:szCs w:val="22"/>
              </w:rPr>
              <w:t>INR, USD, EUR, GBP, JPY, BRL, THB, AUD, CAD, custom currencies; all economic modules update automatically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C1A9" w14:textId="77777777" w:rsidR="00F450F8" w:rsidRDefault="00000000">
            <w:pPr>
              <w:spacing w:after="40"/>
            </w:pPr>
            <w:r>
              <w:rPr>
                <w:rFonts w:cs="Arial"/>
                <w:sz w:val="22"/>
                <w:szCs w:val="22"/>
              </w:rPr>
              <w:t>Currency-aware outputs across all economic modules</w:t>
            </w:r>
          </w:p>
        </w:tc>
      </w:tr>
    </w:tbl>
    <w:p w14:paraId="7F741E36" w14:textId="77777777" w:rsidR="00F450F8" w:rsidRDefault="00000000">
      <w:pPr>
        <w:spacing w:after="200" w:line="276" w:lineRule="auto"/>
        <w:jc w:val="both"/>
      </w:pPr>
      <w:r>
        <w:rPr>
          <w:rFonts w:cs="Arial"/>
          <w:i/>
          <w:iCs/>
        </w:rPr>
        <w:t>All modules display step-by-step explanations, rendered formulas, and literature citations on the output panel.</w:t>
      </w:r>
    </w:p>
    <w:p w14:paraId="24B803D1" w14:textId="77777777" w:rsidR="00F450F8" w:rsidRDefault="00000000">
      <w:pPr>
        <w:pStyle w:val="Heading2"/>
        <w:spacing w:before="360" w:after="200"/>
      </w:pPr>
      <w:r>
        <w:t>Core Parameter Converters</w:t>
      </w:r>
    </w:p>
    <w:p w14:paraId="427728B1" w14:textId="77777777" w:rsidR="00F450F8" w:rsidRDefault="00000000">
      <w:pPr>
        <w:spacing w:after="200" w:line="276" w:lineRule="auto"/>
        <w:jc w:val="both"/>
      </w:pPr>
      <w:r>
        <w:rPr>
          <w:rFonts w:cs="Arial"/>
        </w:rPr>
        <w:t>Clinical literature reports event rates in epidemiological terms -- for example, 15 strokes per 1,000 person-years -- but Markov models require cycle-specific transition probabilities. Simple division (15/1000 = 0.015) is incorrect because rates represent instantaneous hazards while probabilities accumulate over discrete time intervals. The difference appears small at low rates but compounds substantially at higher rates or longer cycles. The Converter module applies the exponential transformation p = 1 - exp(-rt), handles odds-probability conversion for logistic regression outputs, and rescales probabilities across different cycle lengths via rate-space transformation.</w:t>
      </w:r>
    </w:p>
    <w:p w14:paraId="7060D7E1" w14:textId="77777777" w:rsidR="00F450F8" w:rsidRDefault="00000000">
      <w:pPr>
        <w:pStyle w:val="Heading2"/>
        <w:spacing w:before="360" w:after="200"/>
      </w:pPr>
      <w:r>
        <w:t>OR-to-RR Conversion and Effect Size Transformations</w:t>
      </w:r>
    </w:p>
    <w:p w14:paraId="4E46BAD0" w14:textId="77777777" w:rsidR="00F450F8" w:rsidRDefault="00000000">
      <w:pPr>
        <w:spacing w:after="200" w:line="276" w:lineRule="auto"/>
        <w:jc w:val="both"/>
      </w:pPr>
      <w:r>
        <w:rPr>
          <w:rFonts w:cs="Arial"/>
        </w:rPr>
        <w:t>Network meta-analyses frequently pool studies that report different effect measures. Odds ratios from case-control studies cannot be directly compared with relative risks from cohort studies without conversion. The OR-to-RR converter implements Zhang and Yu (1998): RR = OR / (1 - p0 + p0 x OR), where p0 is the baseline risk in the control group. This conversion is essential because OR overstates the relative effect when the outcome is common (baseline risk above 10%). The effect size module implements Chinn (2000): log(OR) = SMD x pi/sqrt(3), enabling conversion between standardized mean differences and log odds ratios for inclusion in a common NMA framework.</w:t>
      </w:r>
    </w:p>
    <w:p w14:paraId="0A79A2F2" w14:textId="77777777" w:rsidR="00F450F8" w:rsidRDefault="00000000">
      <w:pPr>
        <w:pStyle w:val="Heading2"/>
        <w:spacing w:before="360" w:after="200"/>
      </w:pPr>
      <w:r>
        <w:t>Hazard Ratio-Based Probability Converter</w:t>
      </w:r>
    </w:p>
    <w:p w14:paraId="776CC82C" w14:textId="77777777" w:rsidR="00F450F8" w:rsidRDefault="00000000">
      <w:pPr>
        <w:spacing w:after="200" w:line="276" w:lineRule="auto"/>
        <w:jc w:val="both"/>
      </w:pPr>
      <w:r>
        <w:rPr>
          <w:rFonts w:cs="Arial"/>
        </w:rPr>
        <w:lastRenderedPageBreak/>
        <w:t>Clinical trials and network meta-analyses routinely report treatment effects as hazard ratios, but decision models need event probabilities. The HR Converter implements this translation under the proportional hazards assumption in three steps. First, the control-group probability is converted to an instantaneous rate. Second, the hazard ratio is applied. Third, the result is converted back to a probability. Confidence intervals from the hazard ratio are propagated through the entire chain, and the module computes absolute risk reduction and number needed to treat. A Multi-HR Comparison tab accepts comma-separated hazard ratios and produces a side-by-side comparison of intervention probabilities with visualization.</w:t>
      </w:r>
    </w:p>
    <w:p w14:paraId="23482AE9" w14:textId="77777777" w:rsidR="00F450F8" w:rsidRDefault="00000000">
      <w:pPr>
        <w:pStyle w:val="Heading2"/>
        <w:spacing w:before="360" w:after="200"/>
      </w:pPr>
      <w:r>
        <w:t>NNT/NNH Calculator and Log-rank to HR</w:t>
      </w:r>
    </w:p>
    <w:p w14:paraId="22A2E7EA" w14:textId="77777777" w:rsidR="00F450F8" w:rsidRDefault="00000000">
      <w:pPr>
        <w:spacing w:after="200" w:line="276" w:lineRule="auto"/>
        <w:jc w:val="both"/>
      </w:pPr>
      <w:r>
        <w:rPr>
          <w:rFonts w:cs="Arial"/>
        </w:rPr>
        <w:t>The standalone NNT/NNH calculator accepts four input modes: direct absolute risk reduction, relative risk with baseline probability, odds ratio with baseline probability, or direct intervention and control probabilities. This flexibility accommodates the variety of formats in which treatment effects are reported. The log-rank-to-HR converter implements the Peto approximation: log(HR) = +/- z / sqrt(E/4), where z is derived from the published chi-square statistic or p-value, and E is the total number of events. This is particularly useful when published trial reports provide only log-rank test results without explicit hazard ratio estimates.</w:t>
      </w:r>
    </w:p>
    <w:p w14:paraId="5EA7C97B" w14:textId="77777777" w:rsidR="00F450F8" w:rsidRDefault="00000000">
      <w:pPr>
        <w:pStyle w:val="Heading2"/>
        <w:spacing w:before="360" w:after="200"/>
      </w:pPr>
      <w:r>
        <w:t>Survival Analysis</w:t>
      </w:r>
    </w:p>
    <w:p w14:paraId="65E96CD7" w14:textId="77777777" w:rsidR="00F450F8" w:rsidRDefault="00000000">
      <w:pPr>
        <w:spacing w:after="200" w:line="276" w:lineRule="auto"/>
        <w:jc w:val="both"/>
      </w:pPr>
      <w:r>
        <w:rPr>
          <w:rFonts w:cs="Arial"/>
        </w:rPr>
        <w:t>Long-term models often need to project survival beyond observed trial follow-up. When individual patient data is unavailable, the Survival module implements two-point calibration for three parametric distributions. Weibull calibration uses log-log transformation; an exponential fit is available for constant-hazard scenarios. Version 1.4 adds Log-Logistic survival, which accommodates non-monotonic (hump-shaped) hazards -- relevant for surgical procedures, joint replacements, or treatments where risk peaks then declines. The survival function S(t) = 1 / (1 + (t/alpha)^beta) provides this flexibility while requiring only two KM time-points for calibration.</w:t>
      </w:r>
    </w:p>
    <w:p w14:paraId="4701694B" w14:textId="77777777" w:rsidR="00F450F8" w:rsidRDefault="00000000">
      <w:pPr>
        <w:pStyle w:val="Heading2"/>
        <w:spacing w:before="360" w:after="200"/>
      </w:pPr>
      <w:r>
        <w:t>Background Mortality</w:t>
      </w:r>
    </w:p>
    <w:p w14:paraId="1C313F62" w14:textId="77777777" w:rsidR="00F450F8" w:rsidRDefault="00000000">
      <w:pPr>
        <w:spacing w:after="200" w:line="276" w:lineRule="auto"/>
        <w:jc w:val="both"/>
      </w:pPr>
      <w:r>
        <w:rPr>
          <w:rFonts w:cs="Arial"/>
        </w:rPr>
        <w:t>Long-term cohort models must account for all-cause mortality. The module offers four complementary approaches: SMR Adjustment multiplies population rates by published standardized mortality ratios on the rate scale. Linear Interpolation generates year-by-year rates between life table anchor points. Gompertz Parameterization fits the classic exponential aging model from two data points. The DEALE method decomposes total mortality into background and disease-specific components.</w:t>
      </w:r>
    </w:p>
    <w:p w14:paraId="285963FA" w14:textId="77777777" w:rsidR="00F450F8" w:rsidRDefault="00000000">
      <w:pPr>
        <w:pStyle w:val="Heading2"/>
        <w:spacing w:before="360" w:after="200"/>
      </w:pPr>
      <w:r>
        <w:lastRenderedPageBreak/>
        <w:t>Probabilistic Sensitivity Analysis</w:t>
      </w:r>
    </w:p>
    <w:p w14:paraId="085D2B57" w14:textId="77777777" w:rsidR="00F450F8" w:rsidRDefault="00000000">
      <w:pPr>
        <w:spacing w:after="200" w:line="276" w:lineRule="auto"/>
        <w:jc w:val="both"/>
      </w:pPr>
      <w:r>
        <w:rPr>
          <w:rFonts w:cs="Arial"/>
        </w:rPr>
        <w:t xml:space="preserve">Before running Monte Carlo simulation, appropriate probability distributions must be fitted to each uncertain parameter. Beta distributions are fitted for utilities and probabilities. Gamma distributions suit costs. </w:t>
      </w:r>
      <w:proofErr w:type="spellStart"/>
      <w:r>
        <w:rPr>
          <w:rFonts w:cs="Arial"/>
        </w:rPr>
        <w:t>LogNormal</w:t>
      </w:r>
      <w:proofErr w:type="spellEnd"/>
      <w:r>
        <w:rPr>
          <w:rFonts w:cs="Arial"/>
        </w:rPr>
        <w:t xml:space="preserve"> distributions are appropriate for hazard ratios. Version 1.4 adds the Dirichlet distribution for multinomial transition probabilities in Markov models with multiple health states. Independent Beta sampling for each row of a transition matrix breaks the constraint that probabilities must sum to 1.0; the Dirichlet naturally enforces this via Gamma decomposition, where each component is sampled from Gamma(</w:t>
      </w:r>
      <w:proofErr w:type="spellStart"/>
      <w:r>
        <w:rPr>
          <w:rFonts w:cs="Arial"/>
        </w:rPr>
        <w:t>alpha_i</w:t>
      </w:r>
      <w:proofErr w:type="spellEnd"/>
      <w:r>
        <w:rPr>
          <w:rFonts w:cs="Arial"/>
        </w:rPr>
        <w:t>, 1) and normalized.</w:t>
      </w:r>
    </w:p>
    <w:p w14:paraId="795460F3" w14:textId="77777777" w:rsidR="00F450F8" w:rsidRDefault="00000000">
      <w:pPr>
        <w:pStyle w:val="Heading2"/>
        <w:spacing w:before="360" w:after="200"/>
      </w:pPr>
      <w:r>
        <w:t>Financial Calculations</w:t>
      </w:r>
    </w:p>
    <w:p w14:paraId="35183AE5" w14:textId="77777777" w:rsidR="00F450F8" w:rsidRDefault="00000000">
      <w:pPr>
        <w:spacing w:after="200" w:line="276" w:lineRule="auto"/>
        <w:jc w:val="both"/>
      </w:pPr>
      <w:r>
        <w:rPr>
          <w:rFonts w:cs="Arial"/>
        </w:rPr>
        <w:t>The Financial module handles time-value adjustments fundamental to economic evaluation. Discounting converts future costs and health outcomes to present values. Inflation adjustment converts costs between price years using either a compound rate method or the CPI index ratio method. Version 1.4 adds an annuity/PV stream calculator for the present value of recurring annual costs (ordinary annuity and annuity due), commonly needed when converting per-cycle drug costs to lifetime cost estimates.</w:t>
      </w:r>
    </w:p>
    <w:p w14:paraId="7D983D54" w14:textId="77777777" w:rsidR="00F450F8" w:rsidRDefault="00000000">
      <w:pPr>
        <w:pStyle w:val="Heading2"/>
        <w:spacing w:before="360" w:after="200"/>
      </w:pPr>
      <w:r>
        <w:t>Budget Impact Analysis</w:t>
      </w:r>
    </w:p>
    <w:p w14:paraId="5475AD0F" w14:textId="77777777" w:rsidR="00F450F8" w:rsidRDefault="00000000">
      <w:pPr>
        <w:spacing w:after="200" w:line="276" w:lineRule="auto"/>
        <w:jc w:val="both"/>
      </w:pPr>
      <w:r>
        <w:rPr>
          <w:rFonts w:cs="Arial"/>
        </w:rPr>
        <w:t>Budget impact analysis estimates the financial consequences of adopting a new health technology from the payer's perspective over a short time horizon. The module implements the ISPOR BIA Good Practice framework (Sullivan et al., 2014). Users specify population size, disease prevalence, proportion eligible for treatment, year-by-year market uptake trajectories, per-patient costs for current and new therapies, and an optional discount rate. The module computes year-by-year and cumulative budget impact with interactive visualization of the uptake trajectory and cost differential. This complements cost-effectiveness analysis by addressing the separate question of affordability.</w:t>
      </w:r>
    </w:p>
    <w:p w14:paraId="417D07B8" w14:textId="77777777" w:rsidR="00F450F8" w:rsidRDefault="00000000">
      <w:pPr>
        <w:pStyle w:val="Heading2"/>
        <w:spacing w:before="360" w:after="200"/>
      </w:pPr>
      <w:r>
        <w:t>PPP Currency Converter</w:t>
      </w:r>
    </w:p>
    <w:p w14:paraId="749DED91" w14:textId="77777777" w:rsidR="00F450F8" w:rsidRDefault="00000000">
      <w:pPr>
        <w:spacing w:after="200" w:line="276" w:lineRule="auto"/>
        <w:jc w:val="both"/>
      </w:pPr>
      <w:r>
        <w:rPr>
          <w:rFonts w:cs="Arial"/>
        </w:rPr>
        <w:t>Cross-country cost transferability is essential for global HTA but requires careful handling of purchasing power differences. A drug priced at USD 50,000 in the United States represents a fundamentally different economic burden in India or Brazil than simple exchange-rate conversion suggests. The PPP Converter uses World Bank 2022 International Comparison Program data to convert costs between 30 countries through a three-step process: source LCU to International Dollars (via source PPP factor), then International Dollars to target LCU (via target PPP factor). The module compares PPP-adjusted costs against market exchange rate conversion, and assesses cost-</w:t>
      </w:r>
      <w:r>
        <w:rPr>
          <w:rFonts w:cs="Arial"/>
        </w:rPr>
        <w:lastRenderedPageBreak/>
        <w:t>effectiveness against WHO-CHOICE willingness-to-pay thresholds (1x and 3x GDP per capita in the target country). All PPP factors, exchange rates, and GDP per capita values are embedded as static data, ensuring reproducibility without API dependencies.</w:t>
      </w:r>
    </w:p>
    <w:p w14:paraId="69AFB7B4" w14:textId="77777777" w:rsidR="00F450F8" w:rsidRDefault="00000000">
      <w:pPr>
        <w:pStyle w:val="Heading2"/>
        <w:spacing w:before="360" w:after="200"/>
      </w:pPr>
      <w:r>
        <w:t>Diagnostic Test Evaluation</w:t>
      </w:r>
    </w:p>
    <w:p w14:paraId="1527611D" w14:textId="77777777" w:rsidR="00F450F8" w:rsidRDefault="00000000">
      <w:pPr>
        <w:spacing w:after="200" w:line="276" w:lineRule="auto"/>
        <w:jc w:val="both"/>
      </w:pPr>
      <w:r>
        <w:rPr>
          <w:rFonts w:cs="Arial"/>
        </w:rPr>
        <w:t>Diagnostic test performance varies dramatically with disease prevalence in the target population. The Diagnostics module calculates predictive values using Bayes' theorem and visualizes the full prevalence-PPV relationship, allowing users to identify the prevalence threshold at which a test transitions from clinically useful to problematic. The output includes natural-frequency interpretation and likelihood ratios.</w:t>
      </w:r>
    </w:p>
    <w:p w14:paraId="22C55E84" w14:textId="77777777" w:rsidR="00F450F8" w:rsidRDefault="00000000">
      <w:pPr>
        <w:pStyle w:val="Heading2"/>
        <w:spacing w:before="360" w:after="200"/>
      </w:pPr>
      <w:r>
        <w:t>Cost-Effectiveness, Value-Based Pricing, and Documentation</w:t>
      </w:r>
    </w:p>
    <w:p w14:paraId="08C7C4A6" w14:textId="77777777" w:rsidR="00F450F8" w:rsidRDefault="00000000">
      <w:pPr>
        <w:spacing w:after="200" w:line="276" w:lineRule="auto"/>
        <w:jc w:val="both"/>
      </w:pPr>
      <w:r>
        <w:rPr>
          <w:rFonts w:cs="Arial"/>
        </w:rPr>
        <w:t>The ICER/NMB module computes the incremental cost-effectiveness ratio and incremental net monetary benefit, automatically classifying results into the appropriate cost-effectiveness plane quadrant and detecting dominance. The Value-Based Pricing module performs headroom analysis, determining the maximum price at which a technology remains cost-effective. The Lab Notebook automatically logs every calculation with inputs, outputs, timestamps, formulas, and citations, generating a downloadable HTML report that serves as a technical appendix for HTA submissions.</w:t>
      </w:r>
    </w:p>
    <w:p w14:paraId="72CFCDD9" w14:textId="77777777" w:rsidR="00F450F8" w:rsidRDefault="00000000">
      <w:r>
        <w:br w:type="page"/>
      </w:r>
    </w:p>
    <w:p w14:paraId="2918EADB" w14:textId="77777777" w:rsidR="00F450F8" w:rsidRDefault="00000000">
      <w:pPr>
        <w:pStyle w:val="Heading1"/>
      </w:pPr>
      <w:r>
        <w:lastRenderedPageBreak/>
        <w:t>PRACTICAL APPLICATIONS</w:t>
      </w:r>
    </w:p>
    <w:p w14:paraId="3BF69220" w14:textId="77777777" w:rsidR="00F450F8" w:rsidRDefault="00000000">
      <w:pPr>
        <w:spacing w:after="200" w:line="276" w:lineRule="auto"/>
        <w:jc w:val="both"/>
      </w:pPr>
      <w:r>
        <w:rPr>
          <w:rFonts w:cs="Arial"/>
        </w:rPr>
        <w:t xml:space="preserve">Four scenarios illustrate how </w:t>
      </w:r>
      <w:proofErr w:type="spellStart"/>
      <w:r>
        <w:rPr>
          <w:rFonts w:cs="Arial"/>
        </w:rPr>
        <w:t>ParCC</w:t>
      </w:r>
      <w:proofErr w:type="spellEnd"/>
      <w:r>
        <w:rPr>
          <w:rFonts w:cs="Arial"/>
        </w:rPr>
        <w:t xml:space="preserve"> integrates multiple modules to address real analytical problems encountered in HTA.</w:t>
      </w:r>
    </w:p>
    <w:p w14:paraId="7D50A2CC" w14:textId="77777777" w:rsidR="00F450F8" w:rsidRDefault="00000000">
      <w:pPr>
        <w:pStyle w:val="Heading2"/>
        <w:spacing w:before="360" w:after="200"/>
      </w:pPr>
      <w:r>
        <w:t>Scenario 1: Parameterizing a Markov Model from Trial-Reported Hazard Ratios</w:t>
      </w:r>
    </w:p>
    <w:p w14:paraId="19826FC3" w14:textId="77777777" w:rsidR="00F450F8" w:rsidRDefault="00000000">
      <w:pPr>
        <w:spacing w:after="200" w:line="276" w:lineRule="auto"/>
        <w:jc w:val="both"/>
      </w:pPr>
      <w:r>
        <w:rPr>
          <w:rFonts w:cs="Arial"/>
        </w:rPr>
        <w:t xml:space="preserve">A team building a cost-effectiveness model for ticagrelor versus clopidogrel in acute coronary syndrome needed to derive transition probabilities from the PLATO trial, which reported control-arm event rates and hazard ratios across multiple endpoints: cardiovascular death (HR 0.79, 95% CI 0.69-0.91), myocardial infarction (HR 0.84, 0.75-0.95), and stroke (HR 1.01, 0.79-1.28). Using the HR Converter, the team processed each endpoint systematically. The Multi-HR tab provided a visual comparison across all endpoints. Beta distribution parameters for PSA were obtained from the PSA module. Background mortality was adjusted using age-specific Indian life table data with an SMR of 1.8. Financial discounting at 3% was applied per </w:t>
      </w:r>
      <w:proofErr w:type="spellStart"/>
      <w:r>
        <w:rPr>
          <w:rFonts w:cs="Arial"/>
        </w:rPr>
        <w:t>HTAIn</w:t>
      </w:r>
      <w:proofErr w:type="spellEnd"/>
      <w:r>
        <w:rPr>
          <w:rFonts w:cs="Arial"/>
        </w:rPr>
        <w:t xml:space="preserve"> guidelines. The complete parameter derivation chain was documented in one Lab Notebook.</w:t>
      </w:r>
    </w:p>
    <w:p w14:paraId="3C0644DC" w14:textId="77777777" w:rsidR="00F450F8" w:rsidRDefault="00000000">
      <w:pPr>
        <w:pStyle w:val="Heading2"/>
        <w:spacing w:before="360" w:after="200"/>
      </w:pPr>
      <w:r>
        <w:t>Scenario 2: Diagnostic Test Deployment Decision</w:t>
      </w:r>
    </w:p>
    <w:p w14:paraId="578C8E87" w14:textId="77777777" w:rsidR="00F450F8" w:rsidRDefault="00000000">
      <w:pPr>
        <w:spacing w:after="200" w:line="276" w:lineRule="auto"/>
        <w:jc w:val="both"/>
      </w:pPr>
      <w:r>
        <w:rPr>
          <w:rFonts w:cs="Arial"/>
        </w:rPr>
        <w:t>A research team evaluating a rapid TB diagnostic for India needed to determine appropriate deployment settings. The test showed 90% sensitivity and 95% specificity. TB prevalence varies dramatically: approximately 5% in high-risk urban settings versus 0.5% in the general population. The Diagnostics module revealed that PPV reached 67% in high-prevalence settings but dropped to 9% in the general population. The interactive prevalence curve identified the exact threshold where the test transitions from clinically useful to problematic, directly informing the recommendation to target high-risk populations.</w:t>
      </w:r>
    </w:p>
    <w:p w14:paraId="4644AC61" w14:textId="77777777" w:rsidR="00F450F8" w:rsidRDefault="00000000">
      <w:pPr>
        <w:pStyle w:val="Heading2"/>
        <w:spacing w:before="360" w:after="200"/>
      </w:pPr>
      <w:r>
        <w:t>Scenario 3: Systematic Review with Bulk Parameter Conversion</w:t>
      </w:r>
    </w:p>
    <w:p w14:paraId="5395EF30" w14:textId="77777777" w:rsidR="00F450F8" w:rsidRDefault="00000000">
      <w:pPr>
        <w:spacing w:after="200" w:line="276" w:lineRule="auto"/>
        <w:jc w:val="both"/>
      </w:pPr>
      <w:r>
        <w:rPr>
          <w:rFonts w:cs="Arial"/>
        </w:rPr>
        <w:t>A systematic review team extracted adverse event data from 25 immunosuppressive therapy trials, each reporting approximately 18 events as rates per 100 person-years -- 450 individual conversions needed before data pooling. The Bulk Converter processed the complete CSV dataset in seconds, producing mathematically consistent transition probabilities with no transcription errors.</w:t>
      </w:r>
    </w:p>
    <w:p w14:paraId="3A05D822" w14:textId="77777777" w:rsidR="00F450F8" w:rsidRDefault="00000000">
      <w:pPr>
        <w:pStyle w:val="Heading2"/>
        <w:spacing w:before="360" w:after="200"/>
      </w:pPr>
      <w:r>
        <w:t>Scenario 4: Cross-Country Cost Transferability for Global HTA</w:t>
      </w:r>
    </w:p>
    <w:p w14:paraId="0D416613" w14:textId="77777777" w:rsidR="00F450F8" w:rsidRDefault="00000000">
      <w:pPr>
        <w:spacing w:after="200" w:line="276" w:lineRule="auto"/>
        <w:jc w:val="both"/>
      </w:pPr>
      <w:r>
        <w:rPr>
          <w:rFonts w:cs="Arial"/>
        </w:rPr>
        <w:t xml:space="preserve">A team adapting a UK cost-effectiveness model for an oncology drug to the Indian context needed to convert drug costs denominated in GBP to INR. Simple market exchange rate </w:t>
      </w:r>
      <w:r>
        <w:rPr>
          <w:rFonts w:cs="Arial"/>
        </w:rPr>
        <w:lastRenderedPageBreak/>
        <w:t>conversion would overstate costs relative to local purchasing power. Using the PPP Converter, the team converted the GBP annual treatment cost to INR using World Bank PPP factors, finding that the PPP-adjusted cost was substantially lower than the market FX conversion -- reflecting the lower overall price level in India. The module automatically assessed the PPP-adjusted cost against the WHO-CHOICE threshold of 1x GDP per capita for India, providing an immediate cost-effectiveness signal. The Budget Impact module then projected the 5-year financial impact of adoption, accounting for gradual uptake from 10% to 50% over the planning horizon, eligible population sizing from national cancer registry data, and optional discounting at 3%. The complete analysis -- from cross-country cost conversion through budget impact projection -- was documented in a single Lab Notebook session.</w:t>
      </w:r>
    </w:p>
    <w:p w14:paraId="20F59296" w14:textId="77777777" w:rsidR="00F450F8" w:rsidRDefault="00000000">
      <w:r>
        <w:br w:type="page"/>
      </w:r>
    </w:p>
    <w:p w14:paraId="08055A5D" w14:textId="77777777" w:rsidR="00F450F8" w:rsidRDefault="00000000">
      <w:pPr>
        <w:pStyle w:val="Heading1"/>
      </w:pPr>
      <w:r>
        <w:lastRenderedPageBreak/>
        <w:t>DISCUSSION</w:t>
      </w:r>
    </w:p>
    <w:p w14:paraId="50685B68" w14:textId="77777777" w:rsidR="00F450F8" w:rsidRDefault="00000000">
      <w:pPr>
        <w:spacing w:after="200" w:line="276" w:lineRule="auto"/>
        <w:jc w:val="both"/>
      </w:pPr>
      <w:proofErr w:type="spellStart"/>
      <w:r>
        <w:rPr>
          <w:rFonts w:cs="Arial"/>
        </w:rPr>
        <w:t>ParCC</w:t>
      </w:r>
      <w:proofErr w:type="spellEnd"/>
      <w:r>
        <w:rPr>
          <w:rFonts w:cs="Arial"/>
        </w:rPr>
        <w:t xml:space="preserve"> addresses a persistent practical problem in health economic evaluation: researchers spend substantial time on routine calculations that, while mathematically well-established, prove tedious to implement reliably and document systematically. Spreadsheet-based workflows fragment the analytical chain, obscure methodological choices, and leave no standardized audit trail.</w:t>
      </w:r>
    </w:p>
    <w:p w14:paraId="4E877268" w14:textId="77777777" w:rsidR="00F450F8" w:rsidRDefault="00000000">
      <w:pPr>
        <w:spacing w:after="200" w:line="276" w:lineRule="auto"/>
        <w:jc w:val="both"/>
      </w:pPr>
      <w:r>
        <w:rPr>
          <w:rFonts w:cs="Arial"/>
        </w:rPr>
        <w:t>The platform's pedagogical design deserves specific discussion. The decision to embed explanations, formulas, and citations in every output panel was motivated by a practical observation: many HTA researchers, particularly those early in their careers or transitioning from clinical backgrounds, perform parameter conversions without full understanding of the underlying methodology. A tool that produces the correct number but treats the calculation as a black box provides limited value for capacity building. This is particularly relevant in settings where formal HTA training programs are still developing.</w:t>
      </w:r>
    </w:p>
    <w:p w14:paraId="3D3CE084" w14:textId="77777777" w:rsidR="00F450F8" w:rsidRDefault="00000000">
      <w:pPr>
        <w:spacing w:after="200" w:line="276" w:lineRule="auto"/>
        <w:jc w:val="both"/>
      </w:pPr>
      <w:r>
        <w:rPr>
          <w:rFonts w:cs="Arial"/>
        </w:rPr>
        <w:t>Version 1.4's expansion into cross-country cost transferability and budget impact analysis reflects the evolving needs of global HTA practice. As more countries establish formal HTA agencies, the demand for tools that facilitate international evidence transfer while respecting local economic conditions has grown substantially. The PPP Converter addresses this by providing a transparent, reproducible method for cost conversion that goes beyond simple exchange rates. The integration of WHO-CHOICE thresholds provides immediate context for cost-effectiveness assessment, though users should be aware that many countries now use empirical thresholds that may differ from the GDP-based benchmarks.</w:t>
      </w:r>
    </w:p>
    <w:p w14:paraId="637DEE89" w14:textId="77777777" w:rsidR="00F450F8" w:rsidRDefault="00000000">
      <w:pPr>
        <w:spacing w:after="200" w:line="276" w:lineRule="auto"/>
        <w:jc w:val="both"/>
      </w:pPr>
      <w:r>
        <w:rPr>
          <w:rFonts w:cs="Arial"/>
        </w:rPr>
        <w:t xml:space="preserve">The addition of NMA preparation tools (OR-to-RR conversion, effect size transformations) responds to the growing importance of network meta-analysis in HTA submissions. While </w:t>
      </w:r>
      <w:proofErr w:type="spellStart"/>
      <w:r>
        <w:rPr>
          <w:rFonts w:cs="Arial"/>
        </w:rPr>
        <w:t>ParCC</w:t>
      </w:r>
      <w:proofErr w:type="spellEnd"/>
      <w:r>
        <w:rPr>
          <w:rFonts w:cs="Arial"/>
        </w:rPr>
        <w:t xml:space="preserve"> does not perform the NMA itself, it standardizes the preparatory step of converting heterogeneous effect measures to a common scale -- a step that is error-prone when performed manually across dozens of study comparisons.</w:t>
      </w:r>
    </w:p>
    <w:p w14:paraId="7134DBA7" w14:textId="77777777" w:rsidR="00F450F8" w:rsidRDefault="00000000">
      <w:pPr>
        <w:spacing w:after="200" w:line="276" w:lineRule="auto"/>
        <w:jc w:val="both"/>
      </w:pPr>
      <w:r>
        <w:rPr>
          <w:rFonts w:cs="Arial"/>
        </w:rPr>
        <w:t xml:space="preserve">Limitations warrant acknowledgment. </w:t>
      </w:r>
      <w:proofErr w:type="spellStart"/>
      <w:r>
        <w:rPr>
          <w:rFonts w:cs="Arial"/>
        </w:rPr>
        <w:t>ParCC</w:t>
      </w:r>
      <w:proofErr w:type="spellEnd"/>
      <w:r>
        <w:rPr>
          <w:rFonts w:cs="Arial"/>
        </w:rPr>
        <w:t xml:space="preserve"> handles the deterministic parameter calculations that constitute the foundation of model building, but it does not replace comprehensive statistical software for complex analyses such as network meta-analysis, individual patient data meta-regression, or full model construction and simulation. Survival curve fitting uses two-point calibration and cannot accommodate more sophisticated approaches like flexible parametric models or mixture cure models. The HR Converter assumes proportional hazards, which may not hold across all time horizons. The PPP module uses static World Bank 2022 data; real-time data would require API integration that is incompatible with offline deployment and CRAN distribution requirements. Budget </w:t>
      </w:r>
      <w:r>
        <w:rPr>
          <w:rFonts w:cs="Arial"/>
        </w:rPr>
        <w:lastRenderedPageBreak/>
        <w:t xml:space="preserve">impact analysis uses a static population model; dynamic population </w:t>
      </w:r>
      <w:proofErr w:type="spellStart"/>
      <w:r>
        <w:rPr>
          <w:rFonts w:cs="Arial"/>
        </w:rPr>
        <w:t>modeling</w:t>
      </w:r>
      <w:proofErr w:type="spellEnd"/>
      <w:r>
        <w:rPr>
          <w:rFonts w:cs="Arial"/>
        </w:rPr>
        <w:t xml:space="preserve"> for diseases with significant incidence and mortality changes may require more specialized tools.</w:t>
      </w:r>
    </w:p>
    <w:p w14:paraId="13DB865D" w14:textId="77777777" w:rsidR="00F450F8" w:rsidRDefault="00000000">
      <w:pPr>
        <w:spacing w:after="200" w:line="276" w:lineRule="auto"/>
        <w:jc w:val="both"/>
      </w:pPr>
      <w:r>
        <w:rPr>
          <w:rFonts w:cs="Arial"/>
        </w:rPr>
        <w:t xml:space="preserve">Priorities for future development include expanded PSA functionality handling correlated parameters with tornado diagrams and cost-effectiveness acceptability curves, generalized gamma as an additional survival distribution, dynamic population </w:t>
      </w:r>
      <w:proofErr w:type="spellStart"/>
      <w:r>
        <w:rPr>
          <w:rFonts w:cs="Arial"/>
        </w:rPr>
        <w:t>modeling</w:t>
      </w:r>
      <w:proofErr w:type="spellEnd"/>
      <w:r>
        <w:rPr>
          <w:rFonts w:cs="Arial"/>
        </w:rPr>
        <w:t xml:space="preserve"> for budget impact analysis, and integration with additional data sources for PPP and epidemiological parameters.</w:t>
      </w:r>
    </w:p>
    <w:p w14:paraId="67BE5874" w14:textId="77777777" w:rsidR="00F450F8" w:rsidRDefault="00000000">
      <w:pPr>
        <w:pStyle w:val="Heading1"/>
      </w:pPr>
      <w:r>
        <w:t>CONCLUSION</w:t>
      </w:r>
    </w:p>
    <w:p w14:paraId="0C543C9A" w14:textId="77777777" w:rsidR="00F450F8" w:rsidRDefault="00000000">
      <w:pPr>
        <w:spacing w:after="200" w:line="276" w:lineRule="auto"/>
        <w:jc w:val="both"/>
      </w:pPr>
      <w:r>
        <w:rPr>
          <w:rFonts w:cs="Arial"/>
        </w:rPr>
        <w:t xml:space="preserve">Health economic evaluation involves both complex intellectual challenges and routine mathematical operations. </w:t>
      </w:r>
      <w:proofErr w:type="spellStart"/>
      <w:r>
        <w:rPr>
          <w:rFonts w:cs="Arial"/>
        </w:rPr>
        <w:t>ParCC</w:t>
      </w:r>
      <w:proofErr w:type="spellEnd"/>
      <w:r>
        <w:rPr>
          <w:rFonts w:cs="Arial"/>
        </w:rPr>
        <w:t xml:space="preserve"> addresses the routine part -- not because these calculations are trivial, but precisely because getting them right, documenting them transparently, and understanding the methodology behind them matters enough to deserve a validated, integrated platform. By consolidating sixteen analytical capabilities spanning parameter conversion, survival analysis, mortality adjustment, uncertainty quantification, NMA preparation, diagnostic evaluation, financial adjustment, budget impact analysis, cross-country cost transferability, and cost-effectiveness interpretation in one accessible environment with automatic documentation and embedded methodological education, </w:t>
      </w:r>
      <w:proofErr w:type="spellStart"/>
      <w:r>
        <w:rPr>
          <w:rFonts w:cs="Arial"/>
        </w:rPr>
        <w:t>ParCC</w:t>
      </w:r>
      <w:proofErr w:type="spellEnd"/>
      <w:r>
        <w:rPr>
          <w:rFonts w:cs="Arial"/>
        </w:rPr>
        <w:t xml:space="preserve"> establishes a practical standard for analytical transparency in HTA.</w:t>
      </w:r>
    </w:p>
    <w:p w14:paraId="16A586FC" w14:textId="77777777" w:rsidR="00F450F8" w:rsidRDefault="00000000">
      <w:pPr>
        <w:spacing w:after="200" w:line="276" w:lineRule="auto"/>
        <w:jc w:val="both"/>
      </w:pPr>
      <w:r>
        <w:rPr>
          <w:rFonts w:cs="Arial"/>
        </w:rPr>
        <w:t xml:space="preserve">The platform is particularly relevant in settings where commercial modelling software is inaccessible and where building local analytical capacity is a genuine policy priority. Released as open-source software under the MIT license with active maintenance through the Regional Resource Centre network, </w:t>
      </w:r>
      <w:proofErr w:type="spellStart"/>
      <w:r>
        <w:rPr>
          <w:rFonts w:cs="Arial"/>
        </w:rPr>
        <w:t>ParCC</w:t>
      </w:r>
      <w:proofErr w:type="spellEnd"/>
      <w:r>
        <w:rPr>
          <w:rFonts w:cs="Arial"/>
        </w:rPr>
        <w:t xml:space="preserve"> provides both immediate utility for the health economics research community and a foundation for collaborative development.</w:t>
      </w:r>
    </w:p>
    <w:p w14:paraId="67383D5F" w14:textId="77777777" w:rsidR="00F450F8" w:rsidRDefault="00000000">
      <w:pPr>
        <w:pStyle w:val="Heading1"/>
      </w:pPr>
      <w:r>
        <w:t>ACKNOWLEDGMENTS</w:t>
      </w:r>
    </w:p>
    <w:p w14:paraId="73975ED1" w14:textId="77777777" w:rsidR="00F450F8" w:rsidRDefault="00000000">
      <w:pPr>
        <w:spacing w:after="200" w:line="276" w:lineRule="auto"/>
        <w:jc w:val="both"/>
      </w:pPr>
      <w:r>
        <w:rPr>
          <w:rFonts w:cs="Arial"/>
        </w:rPr>
        <w:t>This work was supported by the Department of Health Research (DHR), Ministry of Health and Family Welfare, Government of India, through the Health Technology Assessment in India (</w:t>
      </w:r>
      <w:proofErr w:type="spellStart"/>
      <w:r>
        <w:rPr>
          <w:rFonts w:cs="Arial"/>
        </w:rPr>
        <w:t>HTAIn</w:t>
      </w:r>
      <w:proofErr w:type="spellEnd"/>
      <w:r>
        <w:rPr>
          <w:rFonts w:cs="Arial"/>
        </w:rPr>
        <w:t>) program. The authors thank the Regional Resource Centre network for feedback during development. The application was architected and code-generated with the assistance of large language models (Google Gemini, Anthropic Claude), under the supervision of RRC-HTA researchers.</w:t>
      </w:r>
    </w:p>
    <w:p w14:paraId="111D7B0E" w14:textId="77777777" w:rsidR="00F450F8" w:rsidRDefault="00000000">
      <w:pPr>
        <w:pStyle w:val="Heading1"/>
      </w:pPr>
      <w:r>
        <w:t>FUNDING</w:t>
      </w:r>
    </w:p>
    <w:p w14:paraId="3306769E" w14:textId="77777777" w:rsidR="00F450F8" w:rsidRDefault="00000000">
      <w:pPr>
        <w:spacing w:after="200" w:line="276" w:lineRule="auto"/>
        <w:jc w:val="both"/>
      </w:pPr>
      <w:r>
        <w:rPr>
          <w:rFonts w:cs="Arial"/>
        </w:rPr>
        <w:lastRenderedPageBreak/>
        <w:t>Health Technology Assessment in India (</w:t>
      </w:r>
      <w:proofErr w:type="spellStart"/>
      <w:r>
        <w:rPr>
          <w:rFonts w:cs="Arial"/>
        </w:rPr>
        <w:t>HTAIn</w:t>
      </w:r>
      <w:proofErr w:type="spellEnd"/>
      <w:r>
        <w:rPr>
          <w:rFonts w:cs="Arial"/>
        </w:rPr>
        <w:t>), Department of Health Research, Ministry of Health and Family Welfare, Government of India.</w:t>
      </w:r>
    </w:p>
    <w:p w14:paraId="1A015D86" w14:textId="77777777" w:rsidR="00F450F8" w:rsidRDefault="00000000">
      <w:pPr>
        <w:pStyle w:val="Heading1"/>
      </w:pPr>
      <w:r>
        <w:t>CONFLICT OF INTEREST</w:t>
      </w:r>
    </w:p>
    <w:p w14:paraId="416D9427" w14:textId="77777777" w:rsidR="00F450F8" w:rsidRDefault="00000000">
      <w:pPr>
        <w:spacing w:after="200" w:line="276" w:lineRule="auto"/>
        <w:jc w:val="both"/>
      </w:pPr>
      <w:r>
        <w:rPr>
          <w:rFonts w:cs="Arial"/>
        </w:rPr>
        <w:t>The authors declare no conflicts of interest. The software is released as open-source under the MIT license.</w:t>
      </w:r>
    </w:p>
    <w:p w14:paraId="23D97808" w14:textId="77777777" w:rsidR="00F450F8" w:rsidRDefault="00000000">
      <w:pPr>
        <w:pStyle w:val="Heading1"/>
      </w:pPr>
      <w:r>
        <w:t>DATA AND CODE AVAILABILITY</w:t>
      </w:r>
    </w:p>
    <w:p w14:paraId="68DE98E8" w14:textId="77777777" w:rsidR="00F450F8" w:rsidRDefault="00000000">
      <w:pPr>
        <w:spacing w:after="200" w:line="276" w:lineRule="auto"/>
        <w:jc w:val="both"/>
      </w:pPr>
      <w:r>
        <w:rPr>
          <w:rFonts w:cs="Arial"/>
        </w:rPr>
        <w:t>Web application: https://019d0dce-b522-bb76-f20b-8cfa598859a4.share.connect.posit.cloud/</w:t>
      </w:r>
    </w:p>
    <w:p w14:paraId="3E9CD97E" w14:textId="77777777" w:rsidR="00F450F8" w:rsidRDefault="00000000">
      <w:pPr>
        <w:spacing w:after="200" w:line="276" w:lineRule="auto"/>
        <w:jc w:val="both"/>
      </w:pPr>
      <w:r>
        <w:rPr>
          <w:rFonts w:cs="Arial"/>
        </w:rPr>
        <w:t>Documentation: https://drpakhare.github.io/ParCC/</w:t>
      </w:r>
    </w:p>
    <w:p w14:paraId="22508F1E" w14:textId="77777777" w:rsidR="00F450F8" w:rsidRDefault="00000000">
      <w:pPr>
        <w:spacing w:after="200" w:line="276" w:lineRule="auto"/>
        <w:jc w:val="both"/>
      </w:pPr>
      <w:r>
        <w:rPr>
          <w:rFonts w:cs="Arial"/>
        </w:rPr>
        <w:t>Source code: https://github.com/drpakhare/ParCC</w:t>
      </w:r>
    </w:p>
    <w:p w14:paraId="078F2B4C" w14:textId="77777777" w:rsidR="00F450F8" w:rsidRDefault="00000000">
      <w:pPr>
        <w:spacing w:after="200" w:line="276" w:lineRule="auto"/>
        <w:jc w:val="both"/>
      </w:pPr>
      <w:r>
        <w:rPr>
          <w:rFonts w:cs="Arial"/>
        </w:rPr>
        <w:t>License: MIT License (open source)</w:t>
      </w:r>
    </w:p>
    <w:p w14:paraId="1A7CBB55" w14:textId="77777777" w:rsidR="00F450F8" w:rsidRDefault="00000000">
      <w:r>
        <w:br w:type="page"/>
      </w:r>
    </w:p>
    <w:p w14:paraId="3E2B729D" w14:textId="77777777" w:rsidR="00F450F8" w:rsidRDefault="00000000">
      <w:pPr>
        <w:pStyle w:val="Heading1"/>
      </w:pPr>
      <w:r>
        <w:lastRenderedPageBreak/>
        <w:t>REFERENCES</w:t>
      </w:r>
    </w:p>
    <w:p w14:paraId="23D8B67F" w14:textId="77777777" w:rsidR="00F450F8" w:rsidRDefault="00000000">
      <w:pPr>
        <w:spacing w:after="120" w:line="276" w:lineRule="auto"/>
        <w:ind w:left="480" w:hanging="480"/>
      </w:pPr>
      <w:r>
        <w:rPr>
          <w:rFonts w:cs="Arial"/>
          <w:sz w:val="22"/>
          <w:szCs w:val="22"/>
        </w:rPr>
        <w:t xml:space="preserve">1. Drummond MF, </w:t>
      </w:r>
      <w:proofErr w:type="spellStart"/>
      <w:r>
        <w:rPr>
          <w:rFonts w:cs="Arial"/>
          <w:sz w:val="22"/>
          <w:szCs w:val="22"/>
        </w:rPr>
        <w:t>Sculpher</w:t>
      </w:r>
      <w:proofErr w:type="spellEnd"/>
      <w:r>
        <w:rPr>
          <w:rFonts w:cs="Arial"/>
          <w:sz w:val="22"/>
          <w:szCs w:val="22"/>
        </w:rPr>
        <w:t xml:space="preserve"> MJ, Claxton K, Stoddart GL, Torrance GW. Methods for the Economic Evaluation of Health Care Programmes. 4th ed. Oxford University Press; 2015.</w:t>
      </w:r>
    </w:p>
    <w:p w14:paraId="4BDDE839" w14:textId="77777777" w:rsidR="00F450F8" w:rsidRDefault="00000000">
      <w:pPr>
        <w:spacing w:after="120" w:line="276" w:lineRule="auto"/>
        <w:ind w:left="480" w:hanging="480"/>
      </w:pPr>
      <w:r>
        <w:rPr>
          <w:rFonts w:cs="Arial"/>
          <w:sz w:val="22"/>
          <w:szCs w:val="22"/>
        </w:rPr>
        <w:t xml:space="preserve">2. Briggs A, Claxton K, </w:t>
      </w:r>
      <w:proofErr w:type="spellStart"/>
      <w:r>
        <w:rPr>
          <w:rFonts w:cs="Arial"/>
          <w:sz w:val="22"/>
          <w:szCs w:val="22"/>
        </w:rPr>
        <w:t>Sculpher</w:t>
      </w:r>
      <w:proofErr w:type="spellEnd"/>
      <w:r>
        <w:rPr>
          <w:rFonts w:cs="Arial"/>
          <w:sz w:val="22"/>
          <w:szCs w:val="22"/>
        </w:rPr>
        <w:t xml:space="preserve"> M. Decision Modelling for Health Economic Evaluation. Oxford University Press; 2006.</w:t>
      </w:r>
    </w:p>
    <w:p w14:paraId="1B22B47E" w14:textId="77777777" w:rsidR="00F450F8" w:rsidRDefault="00000000">
      <w:pPr>
        <w:spacing w:after="120" w:line="276" w:lineRule="auto"/>
        <w:ind w:left="480" w:hanging="480"/>
      </w:pPr>
      <w:r>
        <w:rPr>
          <w:rFonts w:cs="Arial"/>
          <w:sz w:val="22"/>
          <w:szCs w:val="22"/>
        </w:rPr>
        <w:t xml:space="preserve">3. </w:t>
      </w:r>
      <w:proofErr w:type="spellStart"/>
      <w:r>
        <w:rPr>
          <w:rFonts w:cs="Arial"/>
          <w:sz w:val="22"/>
          <w:szCs w:val="22"/>
        </w:rPr>
        <w:t>Fleurence</w:t>
      </w:r>
      <w:proofErr w:type="spellEnd"/>
      <w:r>
        <w:rPr>
          <w:rFonts w:cs="Arial"/>
          <w:sz w:val="22"/>
          <w:szCs w:val="22"/>
        </w:rPr>
        <w:t xml:space="preserve"> RL, </w:t>
      </w:r>
      <w:proofErr w:type="spellStart"/>
      <w:r>
        <w:rPr>
          <w:rFonts w:cs="Arial"/>
          <w:sz w:val="22"/>
          <w:szCs w:val="22"/>
        </w:rPr>
        <w:t>Hollenbeak</w:t>
      </w:r>
      <w:proofErr w:type="spellEnd"/>
      <w:r>
        <w:rPr>
          <w:rFonts w:cs="Arial"/>
          <w:sz w:val="22"/>
          <w:szCs w:val="22"/>
        </w:rPr>
        <w:t xml:space="preserve"> CS. Rates and probabilities in economic modelling: transformation, translation and appropriate application. Pharmacoeconomics. 2007;25(1):3-6.</w:t>
      </w:r>
    </w:p>
    <w:p w14:paraId="1D72FAD3" w14:textId="77777777" w:rsidR="00F450F8" w:rsidRDefault="00000000">
      <w:pPr>
        <w:spacing w:after="120" w:line="276" w:lineRule="auto"/>
        <w:ind w:left="480" w:hanging="480"/>
      </w:pPr>
      <w:r>
        <w:rPr>
          <w:rFonts w:cs="Arial"/>
          <w:sz w:val="22"/>
          <w:szCs w:val="22"/>
        </w:rPr>
        <w:t>4. Collett D. Modelling Survival Data in Medical Research. 3rd ed. Chapman and Hall/CRC; 2015.</w:t>
      </w:r>
    </w:p>
    <w:p w14:paraId="5F0D3B34" w14:textId="77777777" w:rsidR="00F450F8" w:rsidRDefault="00000000">
      <w:pPr>
        <w:spacing w:after="120" w:line="276" w:lineRule="auto"/>
        <w:ind w:left="480" w:hanging="480"/>
      </w:pPr>
      <w:r>
        <w:rPr>
          <w:rFonts w:cs="Arial"/>
          <w:sz w:val="22"/>
          <w:szCs w:val="22"/>
        </w:rPr>
        <w:t xml:space="preserve">5. Sonnenberg FA, Beck JR. Markov models in medical decision making: a practical guide. Med </w:t>
      </w:r>
      <w:proofErr w:type="spellStart"/>
      <w:r>
        <w:rPr>
          <w:rFonts w:cs="Arial"/>
          <w:sz w:val="22"/>
          <w:szCs w:val="22"/>
        </w:rPr>
        <w:t>Decis</w:t>
      </w:r>
      <w:proofErr w:type="spellEnd"/>
      <w:r>
        <w:rPr>
          <w:rFonts w:cs="Arial"/>
          <w:sz w:val="22"/>
          <w:szCs w:val="22"/>
        </w:rPr>
        <w:t xml:space="preserve"> Making. 1993;13(4):322-338.</w:t>
      </w:r>
    </w:p>
    <w:p w14:paraId="19A52FD5" w14:textId="77777777" w:rsidR="00F450F8" w:rsidRDefault="00000000">
      <w:pPr>
        <w:spacing w:after="120" w:line="276" w:lineRule="auto"/>
        <w:ind w:left="480" w:hanging="480"/>
      </w:pPr>
      <w:r>
        <w:rPr>
          <w:rFonts w:cs="Arial"/>
          <w:sz w:val="22"/>
          <w:szCs w:val="22"/>
        </w:rPr>
        <w:t xml:space="preserve">6. </w:t>
      </w:r>
      <w:proofErr w:type="spellStart"/>
      <w:r>
        <w:rPr>
          <w:rFonts w:cs="Arial"/>
          <w:sz w:val="22"/>
          <w:szCs w:val="22"/>
        </w:rPr>
        <w:t>Thokala</w:t>
      </w:r>
      <w:proofErr w:type="spellEnd"/>
      <w:r>
        <w:rPr>
          <w:rFonts w:cs="Arial"/>
          <w:sz w:val="22"/>
          <w:szCs w:val="22"/>
        </w:rPr>
        <w:t xml:space="preserve"> P, Devlin N, Marsh K, et al. Multiple criteria decision analysis for health care decision making. Value Health. 2016;19(1):1-13.</w:t>
      </w:r>
    </w:p>
    <w:p w14:paraId="7128AE1B" w14:textId="77777777" w:rsidR="00F450F8" w:rsidRDefault="00000000">
      <w:pPr>
        <w:spacing w:after="120" w:line="276" w:lineRule="auto"/>
        <w:ind w:left="480" w:hanging="480"/>
      </w:pPr>
      <w:r>
        <w:rPr>
          <w:rFonts w:cs="Arial"/>
          <w:sz w:val="22"/>
          <w:szCs w:val="22"/>
        </w:rPr>
        <w:t xml:space="preserve">7. Husereau D, Drummond M, </w:t>
      </w:r>
      <w:proofErr w:type="spellStart"/>
      <w:r>
        <w:rPr>
          <w:rFonts w:cs="Arial"/>
          <w:sz w:val="22"/>
          <w:szCs w:val="22"/>
        </w:rPr>
        <w:t>Augustovski</w:t>
      </w:r>
      <w:proofErr w:type="spellEnd"/>
      <w:r>
        <w:rPr>
          <w:rFonts w:cs="Arial"/>
          <w:sz w:val="22"/>
          <w:szCs w:val="22"/>
        </w:rPr>
        <w:t xml:space="preserve"> F, et al. CHEERS 2022 statement: updated reporting guidance for health economic evaluations. BMJ. 2022;376:e067975.</w:t>
      </w:r>
    </w:p>
    <w:p w14:paraId="40AC36B2" w14:textId="77777777" w:rsidR="00F450F8" w:rsidRDefault="00000000">
      <w:pPr>
        <w:spacing w:after="120" w:line="276" w:lineRule="auto"/>
        <w:ind w:left="480" w:hanging="480"/>
      </w:pPr>
      <w:r>
        <w:rPr>
          <w:rFonts w:cs="Arial"/>
          <w:sz w:val="22"/>
          <w:szCs w:val="22"/>
        </w:rPr>
        <w:t>8. R Core Team. R: A language and environment for statistical computing. R Foundation for Statistical Computing, Vienna, Austria. 2024.</w:t>
      </w:r>
    </w:p>
    <w:p w14:paraId="29BB324B" w14:textId="77777777" w:rsidR="00F450F8" w:rsidRDefault="00000000">
      <w:pPr>
        <w:spacing w:after="120" w:line="276" w:lineRule="auto"/>
        <w:ind w:left="480" w:hanging="480"/>
      </w:pPr>
      <w:r>
        <w:rPr>
          <w:rFonts w:cs="Arial"/>
          <w:sz w:val="22"/>
          <w:szCs w:val="22"/>
        </w:rPr>
        <w:t>9. Wallentin L, Becker RC, Budaj A, et al. Ticagrelor versus clopidogrel in patients with acute coronary syndromes. N Engl J Med. 2009;361(11):1045-1057.</w:t>
      </w:r>
    </w:p>
    <w:p w14:paraId="0D8522BE" w14:textId="77777777" w:rsidR="00F450F8" w:rsidRDefault="00000000">
      <w:pPr>
        <w:spacing w:after="120" w:line="276" w:lineRule="auto"/>
        <w:ind w:left="480" w:hanging="480"/>
      </w:pPr>
      <w:r>
        <w:rPr>
          <w:rFonts w:cs="Arial"/>
          <w:sz w:val="22"/>
          <w:szCs w:val="22"/>
        </w:rPr>
        <w:t>10. Beck JR, Pauker SG, Gottlieb JE, Klein K, Kassirer JP. A convenient approximation of life expectancy (the "DEALE"). Am J Med. 1982;73(6):883-888.</w:t>
      </w:r>
    </w:p>
    <w:p w14:paraId="47928F0A" w14:textId="77777777" w:rsidR="00F450F8" w:rsidRDefault="00000000">
      <w:pPr>
        <w:spacing w:after="120" w:line="276" w:lineRule="auto"/>
        <w:ind w:left="480" w:hanging="480"/>
      </w:pPr>
      <w:r>
        <w:rPr>
          <w:rFonts w:cs="Arial"/>
          <w:sz w:val="22"/>
          <w:szCs w:val="22"/>
        </w:rPr>
        <w:t xml:space="preserve">11. </w:t>
      </w:r>
      <w:proofErr w:type="spellStart"/>
      <w:r>
        <w:rPr>
          <w:rFonts w:cs="Arial"/>
          <w:sz w:val="22"/>
          <w:szCs w:val="22"/>
        </w:rPr>
        <w:t>HTAIn</w:t>
      </w:r>
      <w:proofErr w:type="spellEnd"/>
      <w:r>
        <w:rPr>
          <w:rFonts w:cs="Arial"/>
          <w:sz w:val="22"/>
          <w:szCs w:val="22"/>
        </w:rPr>
        <w:t>. Indian Reference Case for Economic Evaluation. Department of Health Research, Government of India; 2023.</w:t>
      </w:r>
    </w:p>
    <w:p w14:paraId="5C865F6D" w14:textId="77777777" w:rsidR="00F450F8" w:rsidRDefault="00000000">
      <w:pPr>
        <w:spacing w:after="120" w:line="276" w:lineRule="auto"/>
        <w:ind w:left="480" w:hanging="480"/>
      </w:pPr>
      <w:r>
        <w:rPr>
          <w:rFonts w:cs="Arial"/>
          <w:sz w:val="22"/>
          <w:szCs w:val="22"/>
        </w:rPr>
        <w:t xml:space="preserve">12. Latimer NR. Survival analysis for economic evaluations alongside clinical trials. Med </w:t>
      </w:r>
      <w:proofErr w:type="spellStart"/>
      <w:r>
        <w:rPr>
          <w:rFonts w:cs="Arial"/>
          <w:sz w:val="22"/>
          <w:szCs w:val="22"/>
        </w:rPr>
        <w:t>Decis</w:t>
      </w:r>
      <w:proofErr w:type="spellEnd"/>
      <w:r>
        <w:rPr>
          <w:rFonts w:cs="Arial"/>
          <w:sz w:val="22"/>
          <w:szCs w:val="22"/>
        </w:rPr>
        <w:t xml:space="preserve"> Making. 2013;33(6):743-754.</w:t>
      </w:r>
    </w:p>
    <w:p w14:paraId="2A07CEE9" w14:textId="77777777" w:rsidR="00F450F8" w:rsidRDefault="00000000">
      <w:pPr>
        <w:spacing w:after="120" w:line="276" w:lineRule="auto"/>
        <w:ind w:left="480" w:hanging="480"/>
      </w:pPr>
      <w:r>
        <w:rPr>
          <w:rFonts w:cs="Arial"/>
          <w:sz w:val="22"/>
          <w:szCs w:val="22"/>
        </w:rPr>
        <w:t>13. Altman DG, Bland JM. Diagnostic tests: predictive values. BMJ. 1994;309(6947):102.</w:t>
      </w:r>
    </w:p>
    <w:p w14:paraId="08999338" w14:textId="77777777" w:rsidR="00F450F8" w:rsidRDefault="00000000">
      <w:pPr>
        <w:spacing w:after="120" w:line="276" w:lineRule="auto"/>
        <w:ind w:left="480" w:hanging="480"/>
      </w:pPr>
      <w:r>
        <w:rPr>
          <w:rFonts w:cs="Arial"/>
          <w:sz w:val="22"/>
          <w:szCs w:val="22"/>
        </w:rPr>
        <w:t>14. Gompertz B. On the nature of the function expressive of the law of human mortality. Phil Trans R Soc Lond. 1825;115:513-583.</w:t>
      </w:r>
    </w:p>
    <w:p w14:paraId="06B18544" w14:textId="77777777" w:rsidR="00F450F8" w:rsidRDefault="00000000">
      <w:pPr>
        <w:spacing w:after="120" w:line="276" w:lineRule="auto"/>
        <w:ind w:left="480" w:hanging="480"/>
      </w:pPr>
      <w:r>
        <w:rPr>
          <w:rFonts w:cs="Arial"/>
          <w:sz w:val="22"/>
          <w:szCs w:val="22"/>
        </w:rPr>
        <w:t>15. Zhang J, Yu KF. What's the relative risk? A method of correcting the odds ratio in cohort studies of common outcomes. JAMA. 1998;280(19):1690-1691.</w:t>
      </w:r>
    </w:p>
    <w:p w14:paraId="635244D6" w14:textId="77777777" w:rsidR="00F450F8" w:rsidRDefault="00000000">
      <w:pPr>
        <w:spacing w:after="120" w:line="276" w:lineRule="auto"/>
        <w:ind w:left="480" w:hanging="480"/>
      </w:pPr>
      <w:r>
        <w:rPr>
          <w:rFonts w:cs="Arial"/>
          <w:sz w:val="22"/>
          <w:szCs w:val="22"/>
        </w:rPr>
        <w:t>16. Chinn S. A simple method for converting an odds ratio to effect size for use in meta-analysis. Stat Med. 2000;19(22):3127-3131.</w:t>
      </w:r>
    </w:p>
    <w:p w14:paraId="6627BC5A" w14:textId="77777777" w:rsidR="00F450F8" w:rsidRDefault="00000000">
      <w:pPr>
        <w:spacing w:after="120" w:line="276" w:lineRule="auto"/>
        <w:ind w:left="480" w:hanging="480"/>
      </w:pPr>
      <w:r>
        <w:rPr>
          <w:rFonts w:cs="Arial"/>
          <w:sz w:val="22"/>
          <w:szCs w:val="22"/>
        </w:rPr>
        <w:t xml:space="preserve">17. Sullivan SD, Mauskopf JA, </w:t>
      </w:r>
      <w:proofErr w:type="spellStart"/>
      <w:r>
        <w:rPr>
          <w:rFonts w:cs="Arial"/>
          <w:sz w:val="22"/>
          <w:szCs w:val="22"/>
        </w:rPr>
        <w:t>Augustovski</w:t>
      </w:r>
      <w:proofErr w:type="spellEnd"/>
      <w:r>
        <w:rPr>
          <w:rFonts w:cs="Arial"/>
          <w:sz w:val="22"/>
          <w:szCs w:val="22"/>
        </w:rPr>
        <w:t xml:space="preserve"> F, et al. Budget impact analysis -- principles of good practice: report of the ISPOR 2012 Budget Impact Analysis Good Practice II Task Force. Value Health. 2014;17(1):5-14.</w:t>
      </w:r>
    </w:p>
    <w:p w14:paraId="1D71B724" w14:textId="77777777" w:rsidR="00F450F8" w:rsidRDefault="00000000">
      <w:pPr>
        <w:spacing w:after="120" w:line="276" w:lineRule="auto"/>
        <w:ind w:left="480" w:hanging="480"/>
      </w:pPr>
      <w:r>
        <w:rPr>
          <w:rFonts w:cs="Arial"/>
          <w:sz w:val="22"/>
          <w:szCs w:val="22"/>
        </w:rPr>
        <w:lastRenderedPageBreak/>
        <w:t>18. World Bank. International Comparison Program (ICP) 2022. Washington, DC: World Bank Group; 2024.</w:t>
      </w:r>
    </w:p>
    <w:p w14:paraId="2E8BAFE1" w14:textId="77777777" w:rsidR="00F450F8" w:rsidRDefault="00000000">
      <w:pPr>
        <w:spacing w:after="120" w:line="276" w:lineRule="auto"/>
        <w:ind w:left="480" w:hanging="480"/>
      </w:pPr>
      <w:r>
        <w:rPr>
          <w:rFonts w:cs="Arial"/>
          <w:sz w:val="22"/>
          <w:szCs w:val="22"/>
        </w:rPr>
        <w:t>19. WHO-CHOICE. Cost-effectiveness thresholds. Geneva: World Health Organization; 2023.</w:t>
      </w:r>
    </w:p>
    <w:p w14:paraId="3FE70F5F" w14:textId="77777777" w:rsidR="00F450F8" w:rsidRDefault="00000000">
      <w:r>
        <w:br w:type="page"/>
      </w:r>
    </w:p>
    <w:p w14:paraId="1E45980A" w14:textId="77777777" w:rsidR="00F450F8" w:rsidRDefault="00000000">
      <w:pPr>
        <w:pStyle w:val="Heading1"/>
      </w:pPr>
      <w:r>
        <w:lastRenderedPageBreak/>
        <w:t>FIGURE LEGENDS</w:t>
      </w:r>
    </w:p>
    <w:p w14:paraId="6EE67A04" w14:textId="77777777" w:rsidR="00F450F8" w:rsidRDefault="00000000">
      <w:pPr>
        <w:spacing w:after="200" w:line="276" w:lineRule="auto"/>
        <w:jc w:val="both"/>
      </w:pPr>
      <w:r>
        <w:rPr>
          <w:rFonts w:cs="Arial"/>
          <w:i/>
          <w:iCs/>
        </w:rPr>
        <w:t xml:space="preserve">[Figure 1: </w:t>
      </w:r>
      <w:proofErr w:type="spellStart"/>
      <w:r>
        <w:rPr>
          <w:rFonts w:cs="Arial"/>
          <w:i/>
          <w:iCs/>
        </w:rPr>
        <w:t>ParCC</w:t>
      </w:r>
      <w:proofErr w:type="spellEnd"/>
      <w:r>
        <w:rPr>
          <w:rFonts w:cs="Arial"/>
          <w:i/>
          <w:iCs/>
        </w:rPr>
        <w:t xml:space="preserve"> homepage with interactive tool overview accordion. The collapsible sections organize all sixteen capabilities by category, with clickable items navigating directly to each module.]</w:t>
      </w:r>
    </w:p>
    <w:p w14:paraId="1AE3E91C" w14:textId="77777777" w:rsidR="00F450F8" w:rsidRDefault="00000000">
      <w:pPr>
        <w:spacing w:after="200" w:line="276" w:lineRule="auto"/>
        <w:jc w:val="both"/>
      </w:pPr>
      <w:r>
        <w:rPr>
          <w:rFonts w:cs="Arial"/>
          <w:i/>
          <w:iCs/>
        </w:rPr>
        <w:t>[Figure 2: HR-Based Probability Converter output panel, illustrating the four-layer output architecture: computed result, step-by-step explanation, mathematical formula, and literature citations.]</w:t>
      </w:r>
    </w:p>
    <w:p w14:paraId="3472A22D" w14:textId="77777777" w:rsidR="00F450F8" w:rsidRDefault="00000000">
      <w:pPr>
        <w:spacing w:after="200" w:line="276" w:lineRule="auto"/>
        <w:jc w:val="both"/>
      </w:pPr>
      <w:r>
        <w:rPr>
          <w:rFonts w:cs="Arial"/>
          <w:i/>
          <w:iCs/>
        </w:rPr>
        <w:t>[Figure 3: Diagnostics module showing the prevalence-PPV relationship curve with natural-frequency interpretation panel.]</w:t>
      </w:r>
    </w:p>
    <w:p w14:paraId="2CC46B5F" w14:textId="77777777" w:rsidR="00F450F8" w:rsidRDefault="00000000">
      <w:pPr>
        <w:spacing w:after="200" w:line="276" w:lineRule="auto"/>
        <w:jc w:val="both"/>
      </w:pPr>
      <w:r>
        <w:rPr>
          <w:rFonts w:cs="Arial"/>
          <w:i/>
          <w:iCs/>
        </w:rPr>
        <w:t>[Figure 4: Lab Notebook (Session Report) showing the automatically generated HTML audit trail.]</w:t>
      </w:r>
    </w:p>
    <w:p w14:paraId="0657D8E2" w14:textId="77777777" w:rsidR="00F450F8" w:rsidRDefault="00000000">
      <w:pPr>
        <w:spacing w:after="200" w:line="276" w:lineRule="auto"/>
        <w:jc w:val="both"/>
      </w:pPr>
      <w:r>
        <w:rPr>
          <w:rFonts w:cs="Arial"/>
          <w:i/>
          <w:iCs/>
        </w:rPr>
        <w:t>[Figure 5: Batch Converter module showing CSV upload interface and processed output.]</w:t>
      </w:r>
    </w:p>
    <w:p w14:paraId="73280082" w14:textId="77777777" w:rsidR="00F450F8" w:rsidRDefault="00000000">
      <w:pPr>
        <w:spacing w:after="200" w:line="276" w:lineRule="auto"/>
        <w:jc w:val="both"/>
      </w:pPr>
      <w:r>
        <w:rPr>
          <w:rFonts w:cs="Arial"/>
          <w:i/>
          <w:iCs/>
        </w:rPr>
        <w:t>[Figure 6: PPP Currency Converter showing cross-country cost comparison with WHO-CHOICE WTP threshold assessment and bar chart visualization.]</w:t>
      </w:r>
    </w:p>
    <w:p w14:paraId="60A87416" w14:textId="77777777" w:rsidR="00F450F8" w:rsidRDefault="00000000">
      <w:pPr>
        <w:spacing w:after="200" w:line="276" w:lineRule="auto"/>
        <w:jc w:val="both"/>
      </w:pPr>
      <w:r>
        <w:rPr>
          <w:rFonts w:cs="Arial"/>
          <w:i/>
          <w:iCs/>
        </w:rPr>
        <w:t>[Figure 7: Budget Impact Analysis module showing 5-year financial projection with market uptake trajectory.]</w:t>
      </w:r>
    </w:p>
    <w:sectPr w:rsidR="00F450F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0710" w14:textId="77777777" w:rsidR="00373359" w:rsidRDefault="00373359">
      <w:r>
        <w:separator/>
      </w:r>
    </w:p>
  </w:endnote>
  <w:endnote w:type="continuationSeparator" w:id="0">
    <w:p w14:paraId="732CCFA9" w14:textId="77777777" w:rsidR="00373359" w:rsidRDefault="0037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78B7" w14:textId="77777777" w:rsidR="00F450F8" w:rsidRDefault="00000000">
    <w:pPr>
      <w:jc w:val="center"/>
    </w:pPr>
    <w:proofErr w:type="spellStart"/>
    <w:r>
      <w:rPr>
        <w:rFonts w:cs="Arial"/>
        <w:sz w:val="18"/>
        <w:szCs w:val="18"/>
      </w:rPr>
      <w:t>ParCC</w:t>
    </w:r>
    <w:proofErr w:type="spellEnd"/>
    <w:r>
      <w:rPr>
        <w:rFonts w:cs="Arial"/>
        <w:sz w:val="18"/>
        <w:szCs w:val="18"/>
      </w:rPr>
      <w:t xml:space="preserve"> v1.4 -- Tool Description  |  Page </w:t>
    </w:r>
    <w:r>
      <w:rPr>
        <w:rFonts w:cs="Arial"/>
        <w:sz w:val="18"/>
        <w:szCs w:val="18"/>
      </w:rPr>
      <w:fldChar w:fldCharType="begin"/>
    </w:r>
    <w:r>
      <w:rPr>
        <w:rFonts w:cs="Arial"/>
        <w:sz w:val="18"/>
        <w:szCs w:val="18"/>
      </w:rPr>
      <w:instrText>PAGE</w:instrText>
    </w:r>
    <w:r>
      <w:rPr>
        <w:rFonts w:cs="Arial"/>
        <w:sz w:val="18"/>
        <w:szCs w:val="18"/>
      </w:rPr>
      <w:fldChar w:fldCharType="separate"/>
    </w:r>
    <w:r w:rsidR="000D2F74">
      <w:rPr>
        <w:rFonts w:cs="Arial"/>
        <w:noProof/>
        <w:sz w:val="18"/>
        <w:szCs w:val="18"/>
      </w:rPr>
      <w:t>1</w:t>
    </w:r>
    <w:r>
      <w:rP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D0B4F" w14:textId="77777777" w:rsidR="00373359" w:rsidRDefault="00373359">
      <w:r>
        <w:separator/>
      </w:r>
    </w:p>
  </w:footnote>
  <w:footnote w:type="continuationSeparator" w:id="0">
    <w:p w14:paraId="2026743B" w14:textId="77777777" w:rsidR="00373359" w:rsidRDefault="00373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24122"/>
    <w:multiLevelType w:val="hybridMultilevel"/>
    <w:tmpl w:val="CAAE0F3C"/>
    <w:lvl w:ilvl="0" w:tplc="EC540120">
      <w:start w:val="1"/>
      <w:numFmt w:val="bullet"/>
      <w:lvlText w:val="●"/>
      <w:lvlJc w:val="left"/>
      <w:pPr>
        <w:ind w:left="720" w:hanging="360"/>
      </w:pPr>
    </w:lvl>
    <w:lvl w:ilvl="1" w:tplc="8D429368">
      <w:start w:val="1"/>
      <w:numFmt w:val="bullet"/>
      <w:lvlText w:val="○"/>
      <w:lvlJc w:val="left"/>
      <w:pPr>
        <w:ind w:left="1440" w:hanging="360"/>
      </w:pPr>
    </w:lvl>
    <w:lvl w:ilvl="2" w:tplc="9D5438C8">
      <w:start w:val="1"/>
      <w:numFmt w:val="bullet"/>
      <w:lvlText w:val="■"/>
      <w:lvlJc w:val="left"/>
      <w:pPr>
        <w:ind w:left="2160" w:hanging="360"/>
      </w:pPr>
    </w:lvl>
    <w:lvl w:ilvl="3" w:tplc="B28C5358">
      <w:start w:val="1"/>
      <w:numFmt w:val="bullet"/>
      <w:lvlText w:val="●"/>
      <w:lvlJc w:val="left"/>
      <w:pPr>
        <w:ind w:left="2880" w:hanging="360"/>
      </w:pPr>
    </w:lvl>
    <w:lvl w:ilvl="4" w:tplc="A614CB5A">
      <w:start w:val="1"/>
      <w:numFmt w:val="bullet"/>
      <w:lvlText w:val="○"/>
      <w:lvlJc w:val="left"/>
      <w:pPr>
        <w:ind w:left="3600" w:hanging="360"/>
      </w:pPr>
    </w:lvl>
    <w:lvl w:ilvl="5" w:tplc="E19A6900">
      <w:start w:val="1"/>
      <w:numFmt w:val="bullet"/>
      <w:lvlText w:val="■"/>
      <w:lvlJc w:val="left"/>
      <w:pPr>
        <w:ind w:left="4320" w:hanging="360"/>
      </w:pPr>
    </w:lvl>
    <w:lvl w:ilvl="6" w:tplc="99A6F280">
      <w:start w:val="1"/>
      <w:numFmt w:val="bullet"/>
      <w:lvlText w:val="●"/>
      <w:lvlJc w:val="left"/>
      <w:pPr>
        <w:ind w:left="5040" w:hanging="360"/>
      </w:pPr>
    </w:lvl>
    <w:lvl w:ilvl="7" w:tplc="BD74891A">
      <w:start w:val="1"/>
      <w:numFmt w:val="bullet"/>
      <w:lvlText w:val="●"/>
      <w:lvlJc w:val="left"/>
      <w:pPr>
        <w:ind w:left="5760" w:hanging="360"/>
      </w:pPr>
    </w:lvl>
    <w:lvl w:ilvl="8" w:tplc="480A0A36">
      <w:start w:val="1"/>
      <w:numFmt w:val="bullet"/>
      <w:lvlText w:val="●"/>
      <w:lvlJc w:val="left"/>
      <w:pPr>
        <w:ind w:left="6480" w:hanging="360"/>
      </w:pPr>
    </w:lvl>
  </w:abstractNum>
  <w:num w:numId="1" w16cid:durableId="1410074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F8"/>
    <w:rsid w:val="000D2F74"/>
    <w:rsid w:val="00373359"/>
    <w:rsid w:val="00F02A23"/>
    <w:rsid w:val="00F450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F314483"/>
  <w15:docId w15:val="{3F0125A1-AC38-ED47-AE09-22DD769A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5253</Words>
  <Characters>34284</Characters>
  <Application>Microsoft Office Word</Application>
  <DocSecurity>0</DocSecurity>
  <Lines>644</Lines>
  <Paragraphs>224</Paragraphs>
  <ScaleCrop>false</ScaleCrop>
  <Company/>
  <LinksUpToDate>false</LinksUpToDate>
  <CharactersWithSpaces>39313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Pakhare</cp:lastModifiedBy>
  <cp:revision>2</cp:revision>
  <dcterms:created xsi:type="dcterms:W3CDTF">2026-03-21T10:08:00Z</dcterms:created>
  <dcterms:modified xsi:type="dcterms:W3CDTF">2026-03-21T10:19:00Z</dcterms:modified>
</cp:coreProperties>
</file>