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7375E"/>
          <w:sz w:val="44"/>
          <w:szCs w:val="44"/>
        </w:rPr>
        <w:t xml:space="preserve">Causal Loop Diagrams for Peer Support Group Interventions</w:t>
      </w:r>
    </w:p>
    <w:p>
      <w:pPr>
        <w:spacing w:before="0" w:after="60"/>
      </w:pPr>
      <w:r>
        <w:rPr>
          <w:rFonts w:ascii="Arial" w:cs="Arial" w:eastAsia="Arial" w:hAnsi="Arial"/>
          <w:i/>
          <w:iCs/>
          <w:color w:val="1F4E79"/>
          <w:sz w:val="28"/>
          <w:szCs w:val="28"/>
        </w:rPr>
        <w:t xml:space="preserve">in Hypertension and Type 2 Diabetes Management in India</w:t>
      </w:r>
    </w:p>
    <w:p>
      <w:pPr>
        <w:spacing w:before="0" w:after="60"/>
      </w:pPr>
      <w:r>
        <w:rPr>
          <w:rFonts w:ascii="Arial" w:cs="Arial" w:eastAsia="Arial" w:hAnsi="Arial"/>
          <w:b/>
          <w:bCs/>
          <w:color w:val="1A5C7A"/>
          <w:sz w:val="24"/>
          <w:szCs w:val="24"/>
        </w:rPr>
        <w:t xml:space="preserve">STEPS-INDIA Multi-Centre Study — Technical Report</w:t>
      </w:r>
    </w:p>
    <w:p>
      <w:pPr>
        <w:pBdr>
          <w:bottom w:val="single" w:color="1F4E79" w:sz="8"/>
        </w:pBdr>
        <w:spacing w:before="0" w:after="200"/>
      </w:pPr>
      <w:r>
        <w:rPr>
          <w:rFonts w:ascii="Arial" w:cs="Arial" w:eastAsia="Arial" w:hAnsi="Arial"/>
          <w:color w:val="1F4E79"/>
          <w:sz w:val="22"/>
          <w:szCs w:val="22"/>
        </w:rPr>
        <w:t xml:space="preserve">MODULE 1: Introduction · PSG Definition &amp; Typology · Mechanisms of Action · eCES Package Context — Sections 1–3 of 10</w:t>
      </w:r>
    </w:p>
    <w:p>
      <w:pPr>
        <w:pStyle w:val="Heading1"/>
        <w:pBdr>
          <w:bottom w:val="single" w:color="1F4E79" w:sz="6" w:space="4"/>
        </w:pBdr>
        <w:spacing w:before="320" w:after="160"/>
      </w:pPr>
      <w:r>
        <w:rPr>
          <w:rFonts w:ascii="Arial" w:cs="Arial" w:eastAsia="Arial" w:hAnsi="Arial"/>
          <w:b/>
          <w:bCs/>
          <w:color w:val="17375E"/>
          <w:sz w:val="36"/>
          <w:szCs w:val="36"/>
        </w:rPr>
        <w:t xml:space="preserve">1. Introduction</w:t>
      </w:r>
    </w:p>
    <w:p>
      <w:pPr>
        <w:pStyle w:val="Heading2"/>
        <w:spacing w:before="240" w:after="120"/>
      </w:pPr>
      <w:r>
        <w:rPr>
          <w:rFonts w:ascii="Arial" w:cs="Arial" w:eastAsia="Arial" w:hAnsi="Arial"/>
          <w:b/>
          <w:bCs/>
          <w:color w:val="1F4E79"/>
          <w:sz w:val="28"/>
          <w:szCs w:val="28"/>
        </w:rPr>
        <w:t xml:space="preserve">1.1 Background and Rationale</w:t>
      </w:r>
    </w:p>
    <w:p>
      <w:pPr>
        <w:spacing w:before="80" w:after="120"/>
      </w:pPr>
      <w:r>
        <w:rPr>
          <w:rFonts w:ascii="Arial" w:cs="Arial" w:eastAsia="Arial" w:hAnsi="Arial"/>
          <w:color w:val="000000"/>
          <w:sz w:val="22"/>
          <w:szCs w:val="22"/>
        </w:rPr>
        <w:t xml:space="preserve">Hypertension and type 2 diabetes mellitus (T2DM) together account for a disproportionate share of India’s non-communicable disease burden. Nationally, an estimated 28% of adults have hypertension and 11.4% have diabetes, yet population-level control rates remain among the lowest globally — approximately 8.5% for blood pressure and 15–36% for glycaemic targets depending on the measure used. This treatment–control gap persists despite reasonable treatment coverage in urban areas, indicating that the problem lies not only in access to diagnosis and medicines, but in the sustained self-management and retention in care that pharmacotherapy alone cannot provide.</w:t>
      </w:r>
    </w:p>
    <w:p>
      <w:pPr>
        <w:spacing w:before="80" w:after="120"/>
      </w:pPr>
      <w:r>
        <w:rPr>
          <w:rFonts w:ascii="Arial" w:cs="Arial" w:eastAsia="Arial" w:hAnsi="Arial"/>
          <w:color w:val="000000"/>
          <w:sz w:val="22"/>
          <w:szCs w:val="22"/>
        </w:rPr>
        <w:t xml:space="preserve">Community engagement strategies, and in particular peer support groups (PSGs), have emerged as a potentially scalable complement to facility-based care. The STEPS-INDIA multi-centre study is evaluating a package of community engagement strategies — the extended Community Engagement Strategy (eCES) — of which PSGs form a central component, across diverse Indian settings. The eCES package comprises six interventions spanning patient, family, community, and system readiness levels. Robust causal modelling of eCES effects is therefore essential for both the study’s health technology assessment (HTA) component and for policy translation.</w:t>
      </w:r>
    </w:p>
    <w:p>
      <w:pPr>
        <w:spacing w:before="0" w:after="60"/>
      </w:pPr>
    </w:p>
    <w:p>
      <w:pPr>
        <w:pStyle w:val="Heading2"/>
        <w:spacing w:before="240" w:after="120"/>
      </w:pPr>
      <w:r>
        <w:rPr>
          <w:rFonts w:ascii="Arial" w:cs="Arial" w:eastAsia="Arial" w:hAnsi="Arial"/>
          <w:b/>
          <w:bCs/>
          <w:color w:val="1F4E79"/>
          <w:sz w:val="28"/>
          <w:szCs w:val="28"/>
        </w:rPr>
        <w:t xml:space="preserve">1.2 What Are Causal Loop Diagrams?</w:t>
      </w:r>
    </w:p>
    <w:p>
      <w:pPr>
        <w:spacing w:before="80" w:after="120"/>
      </w:pPr>
      <w:r>
        <w:rPr>
          <w:rFonts w:ascii="Arial" w:cs="Arial" w:eastAsia="Arial" w:hAnsi="Arial"/>
          <w:color w:val="000000"/>
          <w:sz w:val="22"/>
          <w:szCs w:val="22"/>
        </w:rPr>
        <w:t xml:space="preserve">Causal loop diagrams (CLDs) are tools from systems thinking used to represent the feedback structure of complex dynamic systems. Unlike linear pathway models — which trace a single chain from intervention to outcome — CLDs map multiple causal relationships simultaneously, including feedback loops in which an outcome influences its own antecedents. This makes CLDs particularly suited to chronic disease interventions, where outcomes feed back into behaviour (e.g. improved glycaemic control reinforces adherence), and where interventions operate through multiple interacting mediators rather than a single dominant pathway.</w:t>
      </w:r>
    </w:p>
    <w:p>
      <w:pPr>
        <w:spacing w:before="80" w:after="120"/>
      </w:pPr>
      <w:r>
        <w:rPr>
          <w:rFonts w:ascii="Arial" w:cs="Arial" w:eastAsia="Arial" w:hAnsi="Arial"/>
          <w:color w:val="000000"/>
          <w:sz w:val="22"/>
          <w:szCs w:val="22"/>
        </w:rPr>
        <w:t xml:space="preserve">For STEPS-INDIA, CLDs serve three purposes. First, they make explicit the theoretical assumptions about how the eCES package produces effects. Second, they identify key leverage points where intervention design choices will have outsized effects. Third, they provide a structured basis for populating transition parameters in the HTA Markov model. The CLDs are implemented as an interactive workbench tool (STEPS-INDIA CLD Application) that allows researchers to adjust parameters and observe downstream effects on disease control proportions.</w:t>
      </w:r>
    </w:p>
    <w:p>
      <w:pPr>
        <w:spacing w:before="0" w:after="60"/>
      </w:pPr>
    </w:p>
    <w:p>
      <w:pPr>
        <w:pStyle w:val="Heading2"/>
        <w:spacing w:before="240" w:after="120"/>
      </w:pPr>
      <w:r>
        <w:rPr>
          <w:rFonts w:ascii="Arial" w:cs="Arial" w:eastAsia="Arial" w:hAnsi="Arial"/>
          <w:b/>
          <w:bCs/>
          <w:color w:val="1F4E79"/>
          <w:sz w:val="28"/>
          <w:szCs w:val="28"/>
        </w:rPr>
        <w:t xml:space="preserve">1.3 Scope of This Document</w:t>
      </w:r>
    </w:p>
    <w:p>
      <w:pPr>
        <w:spacing w:before="80" w:after="120"/>
      </w:pPr>
      <w:r>
        <w:rPr>
          <w:rFonts w:ascii="Arial" w:cs="Arial" w:eastAsia="Arial" w:hAnsi="Arial"/>
          <w:color w:val="000000"/>
          <w:sz w:val="22"/>
          <w:szCs w:val="22"/>
        </w:rPr>
        <w:t xml:space="preserve">This document covers CLDs for two conditions — hypertension and T2DM — modelled as two related but distinct diagrams that share ten nodes, plus the complete eCES overlay that adds four additional intervention nodes to each base CLD. The geographic focus is India, with specific reference to the STEPS-INDIA study population. The document is structured in ten sections:</w:t>
      </w:r>
    </w:p>
    <w:p>
      <w:pPr>
        <w:pStyle w:val="ListParagraph"/>
        <w:numPr>
          <w:ilvl w:val="0"/>
          <w:numId w:val="2"/>
        </w:numPr>
        <w:spacing w:before="40" w:after="60"/>
      </w:pPr>
      <w:r>
        <w:rPr>
          <w:rFonts w:ascii="Arial" w:cs="Arial" w:eastAsia="Arial" w:hAnsi="Arial"/>
          <w:color w:val="000000"/>
          <w:sz w:val="22"/>
          <w:szCs w:val="22"/>
        </w:rPr>
        <w:t xml:space="preserve">Sections 1–3 (this module): Introduction, PSG definition and typology, mechanisms of action, and eCES package context.</w:t>
      </w:r>
    </w:p>
    <w:p>
      <w:pPr>
        <w:pStyle w:val="ListParagraph"/>
        <w:numPr>
          <w:ilvl w:val="0"/>
          <w:numId w:val="2"/>
        </w:numPr>
        <w:spacing w:before="40" w:after="60"/>
      </w:pPr>
      <w:r>
        <w:rPr>
          <w:rFonts w:ascii="Arial" w:cs="Arial" w:eastAsia="Arial" w:hAnsi="Arial"/>
          <w:color w:val="000000"/>
          <w:sz w:val="22"/>
          <w:szCs w:val="22"/>
        </w:rPr>
        <w:t xml:space="preserve">Section 4 (Module 2): Evidence base for HTN and T2DM outcomes, intermediate outcomes, and all six eCES interventions.</w:t>
      </w:r>
    </w:p>
    <w:p>
      <w:pPr>
        <w:pStyle w:val="ListParagraph"/>
        <w:numPr>
          <w:ilvl w:val="0"/>
          <w:numId w:val="2"/>
        </w:numPr>
        <w:spacing w:before="40" w:after="60"/>
      </w:pPr>
      <w:r>
        <w:rPr>
          <w:rFonts w:ascii="Arial" w:cs="Arial" w:eastAsia="Arial" w:hAnsi="Arial"/>
          <w:color w:val="000000"/>
          <w:sz w:val="22"/>
          <w:szCs w:val="22"/>
        </w:rPr>
        <w:t xml:space="preserve">Sections 5–6 (Module 3): The causal loop diagrams — annotated node-and-arrow inventories for PSG-only base CLDs and complete eCES overlay, plus detailed loop-by-loop narrative explanation.</w:t>
      </w:r>
    </w:p>
    <w:p>
      <w:pPr>
        <w:pStyle w:val="ListParagraph"/>
        <w:numPr>
          <w:ilvl w:val="0"/>
          <w:numId w:val="2"/>
        </w:numPr>
        <w:spacing w:before="40" w:after="60"/>
      </w:pPr>
      <w:r>
        <w:rPr>
          <w:rFonts w:ascii="Arial" w:cs="Arial" w:eastAsia="Arial" w:hAnsi="Arial"/>
          <w:color w:val="000000"/>
          <w:sz w:val="22"/>
          <w:szCs w:val="22"/>
        </w:rPr>
        <w:t xml:space="preserve">Section 7 (Module 4): Parameter table — all CLD transition arrows with effect sizes and citations.</w:t>
      </w:r>
    </w:p>
    <w:p>
      <w:pPr>
        <w:pStyle w:val="ListParagraph"/>
        <w:numPr>
          <w:ilvl w:val="0"/>
          <w:numId w:val="2"/>
        </w:numPr>
        <w:spacing w:before="40" w:after="60"/>
      </w:pPr>
      <w:r>
        <w:rPr>
          <w:rFonts w:ascii="Arial" w:cs="Arial" w:eastAsia="Arial" w:hAnsi="Arial"/>
          <w:color w:val="000000"/>
          <w:sz w:val="22"/>
          <w:szCs w:val="22"/>
        </w:rPr>
        <w:t xml:space="preserve">Section 8 (Module 5): Translating continuous effect sizes to proportions with controlled disease.</w:t>
      </w:r>
    </w:p>
    <w:p>
      <w:pPr>
        <w:pStyle w:val="ListParagraph"/>
        <w:numPr>
          <w:ilvl w:val="0"/>
          <w:numId w:val="2"/>
        </w:numPr>
        <w:spacing w:before="40" w:after="60"/>
      </w:pPr>
      <w:r>
        <w:rPr>
          <w:rFonts w:ascii="Arial" w:cs="Arial" w:eastAsia="Arial" w:hAnsi="Arial"/>
          <w:color w:val="000000"/>
          <w:sz w:val="22"/>
          <w:szCs w:val="22"/>
        </w:rPr>
        <w:t xml:space="preserve">Sections 9–10 (Module 6): Limitations and conclusions / HTA model implications.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F2F2F2" w:val="clear"/>
            <w:tcMar>
              <w:top w:type="dxa" w:w="120"/>
              <w:left w:type="dxa" w:w="200"/>
              <w:bottom w:type="dxa" w:w="120"/>
              <w:right w:type="dxa" w:w="200"/>
            </w:tcMar>
          </w:tcPr>
          <w:p>
            <w:pPr>
              <w:spacing w:before="60" w:after="80"/>
            </w:pPr>
            <w:r>
              <w:rPr>
                <w:rFonts w:ascii="Arial" w:cs="Arial" w:eastAsia="Arial" w:hAnsi="Arial"/>
                <w:b/>
                <w:bCs/>
                <w:color w:val="17375E"/>
                <w:sz w:val="22"/>
                <w:szCs w:val="22"/>
              </w:rPr>
              <w:t xml:space="preserve">⚠️ Note on terminology</w:t>
            </w:r>
          </w:p>
          <w:p>
            <w:pPr>
              <w:spacing w:before="40" w:after="40"/>
            </w:pPr>
            <w:r>
              <w:rPr>
                <w:rFonts w:ascii="Arial" w:cs="Arial" w:eastAsia="Arial" w:hAnsi="Arial"/>
                <w:color w:val="000000"/>
                <w:sz w:val="22"/>
                <w:szCs w:val="22"/>
              </w:rPr>
              <w:t xml:space="preserve">Throughout this document, 'peer support group' refers to the structured, peer-led group model defined in Section 2. The term is not used interchangeably with 'group-based intervention' or 'community health worker outreach', which are distinct constructs occupying separate nodes in the CLDs. The eCES package extends beyond PSGs to include Health Diary, Family NCD Coach, NCD Club, Capacity Building, and Communication Aid — each described in Section 3.5 and evidenced in Section 4.</w:t>
            </w:r>
          </w:p>
        </w:tc>
      </w:tr>
    </w:tbl>
    <w:p>
      <w:pPr>
        <w:spacing w:before="0" w:after="60"/>
      </w:pPr>
    </w:p>
    <w:p>
      <w:pPr>
        <w:spacing w:before="0" w:after="60"/>
      </w:pPr>
    </w:p>
    <w:p>
      <w:pPr>
        <w:pStyle w:val="Heading1"/>
        <w:pBdr>
          <w:bottom w:val="single" w:color="1F4E79" w:sz="6" w:space="4"/>
        </w:pBdr>
        <w:spacing w:before="320" w:after="160"/>
      </w:pPr>
      <w:r>
        <w:rPr>
          <w:rFonts w:ascii="Arial" w:cs="Arial" w:eastAsia="Arial" w:hAnsi="Arial"/>
          <w:b/>
          <w:bCs/>
          <w:color w:val="17375E"/>
          <w:sz w:val="36"/>
          <w:szCs w:val="36"/>
        </w:rPr>
        <w:t xml:space="preserve">2. Peer Support Groups — Definition and Typology</w:t>
      </w:r>
    </w:p>
    <w:p>
      <w:pPr>
        <w:pStyle w:val="Heading2"/>
        <w:spacing w:before="240" w:after="120"/>
      </w:pPr>
      <w:r>
        <w:rPr>
          <w:rFonts w:ascii="Arial" w:cs="Arial" w:eastAsia="Arial" w:hAnsi="Arial"/>
          <w:b/>
          <w:bCs/>
          <w:color w:val="1F4E79"/>
          <w:sz w:val="28"/>
          <w:szCs w:val="28"/>
        </w:rPr>
        <w:t xml:space="preserve">2.1 Core Definition</w:t>
      </w:r>
    </w:p>
    <w:p>
      <w:pPr>
        <w:spacing w:before="80" w:after="120"/>
      </w:pPr>
      <w:r>
        <w:rPr>
          <w:rFonts w:ascii="Arial" w:cs="Arial" w:eastAsia="Arial" w:hAnsi="Arial"/>
          <w:color w:val="000000"/>
          <w:sz w:val="22"/>
          <w:szCs w:val="22"/>
        </w:rPr>
        <w:t xml:space="preserve">The scoping review conducted for STEPS-INDIA (258 studies, 2015–2024, PRISMA-ScR) identified 34 studies featuring peer support group interventions for hypertension and/or T2DM management. Synthesising across these studies, the following working definition is adopted: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E8F4FD" w:val="clear"/>
            <w:tcMar>
              <w:top w:type="dxa" w:w="120"/>
              <w:left w:type="dxa" w:w="200"/>
              <w:bottom w:type="dxa" w:w="120"/>
              <w:right w:type="dxa" w:w="200"/>
            </w:tcMar>
          </w:tcPr>
          <w:p>
            <w:pPr>
              <w:spacing w:before="60" w:after="80"/>
            </w:pPr>
            <w:r>
              <w:rPr>
                <w:rFonts w:ascii="Arial" w:cs="Arial" w:eastAsia="Arial" w:hAnsi="Arial"/>
                <w:b/>
                <w:bCs/>
                <w:color w:val="17375E"/>
                <w:sz w:val="22"/>
                <w:szCs w:val="22"/>
              </w:rPr>
              <w:t xml:space="preserve">📌 Working Definition — Peer Support Group (PSG)</w:t>
            </w:r>
          </w:p>
          <w:p>
            <w:pPr>
              <w:spacing w:before="40" w:after="40"/>
            </w:pPr>
            <w:r>
              <w:rPr>
                <w:rFonts w:ascii="Arial" w:cs="Arial" w:eastAsia="Arial" w:hAnsi="Arial"/>
                <w:color w:val="000000"/>
                <w:sz w:val="22"/>
                <w:szCs w:val="22"/>
              </w:rPr>
              <w:t xml:space="preserve">A structured group of 8–14 adults who share a common disease status (living with, or at high risk for, hypertension or type 2 diabetes), meeting regularly (weekly or biweekly) for 60–90 minutes in a community setting, facilitated by a trained peer leader drawn from the same community who has lived experience of the condition and whose own disease is well controlled. Sessions address lifestyle modification, disease-specific self-management, medication adherence, complication prevention, and psychosocial support. Participants use structured handbooks, self-monitoring equipment (blood pressure cuffs, glucometers), and audio-visual aids. The peer leader receives a minimum of two days of training in facilitation skills, health communication, and disease prevention and management.</w:t>
            </w:r>
          </w:p>
        </w:tc>
      </w:tr>
    </w:tbl>
    <w:p>
      <w:pPr>
        <w:spacing w:before="0" w:after="60"/>
      </w:pPr>
    </w:p>
    <w:p>
      <w:pPr>
        <w:pStyle w:val="Heading2"/>
        <w:spacing w:before="240" w:after="120"/>
      </w:pPr>
      <w:r>
        <w:rPr>
          <w:rFonts w:ascii="Arial" w:cs="Arial" w:eastAsia="Arial" w:hAnsi="Arial"/>
          <w:b/>
          <w:bCs/>
          <w:color w:val="1F4E79"/>
          <w:sz w:val="28"/>
          <w:szCs w:val="28"/>
        </w:rPr>
        <w:t xml:space="preserve">2.2 PSG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660"/>
        <w:gridCol w:w="3600"/>
      </w:tblGrid>
      <w:tr>
        <w:trPr>
          <w:tblHeader/>
        </w:trPr>
        <w:tc>
          <w:tcPr>
            <w:tcW w:type="dxa" w:w="19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PSG Type</w:t>
            </w:r>
          </w:p>
        </w:tc>
        <w:tc>
          <w:tcPr>
            <w:tcW w:type="dxa" w:w="22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6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Primary Target</w:t>
            </w:r>
          </w:p>
        </w:tc>
        <w:tc>
          <w:tcPr>
            <w:tcW w:type="dxa" w:w="36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India Evidence</w:t>
            </w:r>
          </w:p>
        </w:tc>
      </w:tr>
      <w:tr>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Classical PSG</w:t>
            </w:r>
          </w:p>
        </w:tc>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Peer leader, weekly/biweekly sessions, structured curriculum, community venue, self-monitoring</w:t>
            </w:r>
          </w:p>
        </w:tc>
        <w:tc>
          <w:tcPr>
            <w:tcW w:type="dxa" w:w="16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Adults living with DM or HTN</w:t>
            </w:r>
          </w:p>
        </w:tc>
        <w:tc>
          <w:tcPr>
            <w:tcW w:type="dxa" w:w="36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ACE-ME study; Kerala SHG-HTN trial (Suseela et al. 2022)</w:t>
            </w:r>
          </w:p>
        </w:tc>
      </w:tr>
      <w:tr>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DPP adaptation</w:t>
            </w:r>
          </w:p>
        </w:tc>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Peer-led, group format, intensive lifestyle curriculum (16+ sessions), targets prediabetes</w:t>
            </w:r>
          </w:p>
        </w:tc>
        <w:tc>
          <w:tcPr>
            <w:tcW w:type="dxa" w:w="16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Adults with IGT / high risk for T2DM</w:t>
            </w:r>
          </w:p>
        </w:tc>
        <w:tc>
          <w:tcPr>
            <w:tcW w:type="dxa" w:w="36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K-DPP (Thankappan 2018); IDPP-1 (Ramachandran 2006)</w:t>
            </w:r>
          </w:p>
        </w:tc>
      </w:tr>
      <w:tr>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SHG-based NCD groups</w:t>
            </w:r>
          </w:p>
        </w:tc>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Pre-existing women’s self-help group repurposed for NCD self-management; BP monitoring integrated</w:t>
            </w:r>
          </w:p>
        </w:tc>
        <w:tc>
          <w:tcPr>
            <w:tcW w:type="dxa" w:w="16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Women in low-income communities</w:t>
            </w:r>
          </w:p>
        </w:tc>
        <w:tc>
          <w:tcPr>
            <w:tcW w:type="dxa" w:w="36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Kerala SHG-HTN trial (BMJ Glob Health 2022); ~10M SHGs nationally</w:t>
            </w:r>
          </w:p>
        </w:tc>
      </w:tr>
      <w:tr>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Digital / online peer communities</w:t>
            </w:r>
          </w:p>
        </w:tc>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Peer-led, co-patient group delivered via WhatsApp, portals, or telemedicine</w:t>
            </w:r>
          </w:p>
        </w:tc>
        <w:tc>
          <w:tcPr>
            <w:tcW w:type="dxa" w:w="16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Adults with DM/HTN with smartphone access</w:t>
            </w:r>
          </w:p>
        </w:tc>
        <w:tc>
          <w:tcPr>
            <w:tcW w:type="dxa" w:w="36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Chhattisgarh ABHA integration; Mumbai phone-call study (Patel 2021)</w:t>
            </w:r>
          </w:p>
        </w:tc>
      </w:tr>
    </w:tbl>
    <w:p>
      <w:pPr>
        <w:spacing w:before="0" w:after="60"/>
      </w:pPr>
    </w:p>
    <w:p>
      <w:pPr>
        <w:spacing w:before="0" w:after="60"/>
      </w:pPr>
    </w:p>
    <w:p>
      <w:pPr>
        <w:pStyle w:val="Heading2"/>
        <w:spacing w:before="240" w:after="120"/>
      </w:pPr>
      <w:r>
        <w:rPr>
          <w:rFonts w:ascii="Arial" w:cs="Arial" w:eastAsia="Arial" w:hAnsi="Arial"/>
          <w:b/>
          <w:bCs/>
          <w:color w:val="1F4E79"/>
          <w:sz w:val="28"/>
          <w:szCs w:val="28"/>
        </w:rPr>
        <w:t xml:space="preserve">2.3 PSGs in the India Context: Existing Platforms</w:t>
      </w:r>
    </w:p>
    <w:p>
      <w:pPr>
        <w:pStyle w:val="ListParagraph"/>
        <w:numPr>
          <w:ilvl w:val="0"/>
          <w:numId w:val="2"/>
        </w:numPr>
        <w:spacing w:before="40" w:after="60"/>
      </w:pPr>
      <w:r>
        <w:rPr>
          <w:rFonts w:ascii="Arial" w:cs="Arial" w:eastAsia="Arial" w:hAnsi="Arial"/>
          <w:color w:val="000000"/>
          <w:sz w:val="22"/>
          <w:szCs w:val="22"/>
        </w:rPr>
        <w:t xml:space="preserve">Women’s Self-Help Groups (SHGs): ~10 million SHGs, 120 million members. Kerala SHG-HTN trial demonstrated feasibility of NCD integration (Suseela 2022, BMJ Glob Health).</w:t>
      </w:r>
    </w:p>
    <w:p>
      <w:pPr>
        <w:pStyle w:val="ListParagraph"/>
        <w:numPr>
          <w:ilvl w:val="0"/>
          <w:numId w:val="2"/>
        </w:numPr>
        <w:spacing w:before="40" w:after="60"/>
      </w:pPr>
      <w:r>
        <w:rPr>
          <w:rFonts w:ascii="Arial" w:cs="Arial" w:eastAsia="Arial" w:hAnsi="Arial"/>
          <w:color w:val="000000"/>
          <w:sz w:val="22"/>
          <w:szCs w:val="22"/>
        </w:rPr>
        <w:t xml:space="preserve">ASHA network: 1.05 million ASHAs can identify PSG candidates, support formation, and provide CHW bridge. In STEPS-INDIA, ASHAs deliver Family NCD Coach visits and facilitate NCD Club activity.</w:t>
      </w:r>
    </w:p>
    <w:p>
      <w:pPr>
        <w:pStyle w:val="ListParagraph"/>
        <w:numPr>
          <w:ilvl w:val="0"/>
          <w:numId w:val="2"/>
        </w:numPr>
        <w:spacing w:before="40" w:after="60"/>
      </w:pPr>
      <w:r>
        <w:rPr>
          <w:rFonts w:ascii="Arial" w:cs="Arial" w:eastAsia="Arial" w:hAnsi="Arial"/>
          <w:color w:val="000000"/>
          <w:sz w:val="22"/>
          <w:szCs w:val="22"/>
        </w:rPr>
        <w:t xml:space="preserve">NPCDCS: 66+ million screened; HWC platform for PSG linkage and complication screening.</w:t>
      </w:r>
    </w:p>
    <w:p>
      <w:pPr>
        <w:pStyle w:val="ListParagraph"/>
        <w:numPr>
          <w:ilvl w:val="0"/>
          <w:numId w:val="2"/>
        </w:numPr>
        <w:spacing w:before="40" w:after="60"/>
      </w:pPr>
      <w:r>
        <w:rPr>
          <w:rFonts w:ascii="Arial" w:cs="Arial" w:eastAsia="Arial" w:hAnsi="Arial"/>
          <w:color w:val="000000"/>
          <w:sz w:val="22"/>
          <w:szCs w:val="22"/>
        </w:rPr>
        <w:t xml:space="preserve">India Hypertension Control Initiative (IHCI): 141 districts, 21,579 facilities, 4 million+ enrolled. Pure HSS intervention (protocol + free medicines + digital tracking) — no CE component. eCES complements IHCI; they are not substitutes.</w:t>
      </w:r>
    </w:p>
    <w:p>
      <w:pPr>
        <w:pStyle w:val="ListParagraph"/>
        <w:numPr>
          <w:ilvl w:val="0"/>
          <w:numId w:val="2"/>
        </w:numPr>
        <w:spacing w:before="40" w:after="60"/>
      </w:pPr>
      <w:r>
        <w:rPr>
          <w:rFonts w:ascii="Arial" w:cs="Arial" w:eastAsia="Arial" w:hAnsi="Arial"/>
          <w:color w:val="000000"/>
          <w:sz w:val="22"/>
          <w:szCs w:val="22"/>
        </w:rPr>
        <w:t xml:space="preserve">Mahila Arogya Samitis (MAS): NHM-established women’s health committees with health mandates extensible to NCD self-management.</w:t>
      </w:r>
    </w:p>
    <w:p>
      <w:pPr>
        <w:spacing w:before="80" w:after="120"/>
      </w:pPr>
      <w:r>
        <w:rPr>
          <w:rFonts w:ascii="Arial" w:cs="Arial" w:eastAsia="Arial" w:hAnsi="Arial"/>
          <w:color w:val="000000"/>
          <w:sz w:val="22"/>
          <w:szCs w:val="22"/>
        </w:rPr>
        <w:t xml:space="preserve">STEPS-INDIA study sites: Jammu, Madurai, Delhi, Odisha, Sevagram, and Bhopal — geographically and socioculturally diverse settings testing eCES generalisability.</w:t>
      </w:r>
    </w:p>
    <w:p>
      <w:pPr>
        <w:spacing w:before="0" w:after="60"/>
      </w:pPr>
    </w:p>
    <w:p>
      <w:pPr>
        <w:spacing w:before="0" w:after="60"/>
      </w:pPr>
    </w:p>
    <w:p>
      <w:pPr>
        <w:pStyle w:val="Heading1"/>
        <w:pBdr>
          <w:bottom w:val="single" w:color="1F4E79" w:sz="6" w:space="4"/>
        </w:pBdr>
        <w:spacing w:before="320" w:after="160"/>
      </w:pPr>
      <w:r>
        <w:rPr>
          <w:rFonts w:ascii="Arial" w:cs="Arial" w:eastAsia="Arial" w:hAnsi="Arial"/>
          <w:b/>
          <w:bCs/>
          <w:color w:val="17375E"/>
          <w:sz w:val="36"/>
          <w:szCs w:val="36"/>
        </w:rPr>
        <w:t xml:space="preserve">3. Mechanisms of Action</w:t>
      </w:r>
    </w:p>
    <w:p>
      <w:pPr>
        <w:pStyle w:val="Heading2"/>
        <w:spacing w:before="240" w:after="120"/>
      </w:pPr>
      <w:r>
        <w:rPr>
          <w:rFonts w:ascii="Arial" w:cs="Arial" w:eastAsia="Arial" w:hAnsi="Arial"/>
          <w:b/>
          <w:bCs/>
          <w:color w:val="1F4E79"/>
          <w:sz w:val="28"/>
          <w:szCs w:val="28"/>
        </w:rPr>
        <w:t xml:space="preserve">3.1 Conceptual Framework</w:t>
      </w:r>
    </w:p>
    <w:p>
      <w:pPr>
        <w:spacing w:before="80" w:after="120"/>
      </w:pPr>
      <w:r>
        <w:rPr>
          <w:rFonts w:ascii="Arial" w:cs="Arial" w:eastAsia="Arial" w:hAnsi="Arial"/>
          <w:color w:val="000000"/>
          <w:sz w:val="22"/>
          <w:szCs w:val="22"/>
        </w:rPr>
        <w:t xml:space="preserve">PSG mechanisms operate at three levels: individual-level psychological mechanisms (self-efficacy, disease knowledge, self-monitoring), social mechanisms (peer modelling, social accountability, distress reduction, stigma normalisation, economic capability), and system-level mechanisms (care linkage, adherence support, therapeutic inertia reduction). The eCES package adds four further intervention nodes that extend and amplify these core PSG mechanisms: Health Diary (individual), Family NCD Coach (family/social), NCD Club (community/structural), and Capacity Building + Communication Aid (cross-cutting enablers).</w:t>
      </w:r>
    </w:p>
    <w:p>
      <w:pPr>
        <w:spacing w:before="80" w:after="120"/>
      </w:pPr>
      <w:r>
        <w:rPr>
          <w:rFonts w:ascii="Arial" w:cs="Arial" w:eastAsia="Arial" w:hAnsi="Arial"/>
          <w:color w:val="000000"/>
          <w:sz w:val="22"/>
          <w:szCs w:val="22"/>
        </w:rPr>
        <w:t xml:space="preserve">The conceptual framework draws on Bandura’s social cognitive theory (self-efficacy), Fischer’s peer support framework (four functions: informational, emotional, appraisal, instrumental), Lewin’s field theory (social norms as dynamic field), the social ecological model (individual, interpersonal, community, systemic levels), and health literacy theory (Ophelia/HealthLit framework for co-designed materials).</w:t>
      </w:r>
    </w:p>
    <w:p>
      <w:pPr>
        <w:spacing w:before="0" w:after="60"/>
      </w:pPr>
    </w:p>
    <w:p>
      <w:pPr>
        <w:pStyle w:val="Heading2"/>
        <w:spacing w:before="240" w:after="120"/>
      </w:pPr>
      <w:r>
        <w:rPr>
          <w:rFonts w:ascii="Arial" w:cs="Arial" w:eastAsia="Arial" w:hAnsi="Arial"/>
          <w:b/>
          <w:bCs/>
          <w:color w:val="1F4E79"/>
          <w:sz w:val="28"/>
          <w:szCs w:val="28"/>
        </w:rPr>
        <w:t xml:space="preserve">3.2 Individual-Level Mechanisms</w:t>
      </w:r>
    </w:p>
    <w:p>
      <w:pPr>
        <w:pStyle w:val="Heading3"/>
        <w:spacing w:before="180" w:after="80"/>
      </w:pPr>
      <w:r>
        <w:rPr>
          <w:rFonts w:ascii="Arial" w:cs="Arial" w:eastAsia="Arial" w:hAnsi="Arial"/>
          <w:b/>
          <w:bCs/>
          <w:color w:val="1A5C7A"/>
          <w:sz w:val="24"/>
          <w:szCs w:val="24"/>
        </w:rPr>
        <w:t xml:space="preserve">3.2.1 Self-Efficacy</w:t>
      </w:r>
    </w:p>
    <w:p>
      <w:pPr>
        <w:spacing w:before="80" w:after="120"/>
      </w:pPr>
      <w:r>
        <w:rPr>
          <w:rFonts w:ascii="Arial" w:cs="Arial" w:eastAsia="Arial" w:hAnsi="Arial"/>
          <w:color w:val="000000"/>
          <w:sz w:val="22"/>
          <w:szCs w:val="22"/>
        </w:rPr>
        <w:t xml:space="preserve">Self-efficacy — an individual’s belief in their capacity to perform a specific health behaviour — is the most consistently supported mediator of PSG effects (Fisher 2017: 58.8% mediation). Bandura’s four sources (mastery experiences, vicarious experiences, social persuasion, physiological reframing) are all activated by PSG participation. The Health Diary amplifies this by providing a daily mastery feedback structure: completing the diary and observing improvements reinforces self-belief for continued engagement.</w:t>
      </w:r>
    </w:p>
    <w:p>
      <w:pPr>
        <w:pStyle w:val="Heading3"/>
        <w:spacing w:before="180" w:after="80"/>
      </w:pPr>
      <w:r>
        <w:rPr>
          <w:rFonts w:ascii="Arial" w:cs="Arial" w:eastAsia="Arial" w:hAnsi="Arial"/>
          <w:b/>
          <w:bCs/>
          <w:color w:val="1A5C7A"/>
          <w:sz w:val="24"/>
          <w:szCs w:val="24"/>
        </w:rPr>
        <w:t xml:space="preserve">3.2.2 Disease Knowledge and Health Literacy</w:t>
      </w:r>
    </w:p>
    <w:p>
      <w:pPr>
        <w:spacing w:before="80" w:after="120"/>
      </w:pPr>
      <w:r>
        <w:rPr>
          <w:rFonts w:ascii="Arial" w:cs="Arial" w:eastAsia="Arial" w:hAnsi="Arial"/>
          <w:color w:val="000000"/>
          <w:sz w:val="22"/>
          <w:szCs w:val="22"/>
        </w:rPr>
        <w:t xml:space="preserve">PSGs deliver peer-mediated DSME equivalent for HTN and DM (pooled HbA1c reduction −0.64%, Chowdhury 2024; SMD −0.41, Patil SR). The Communication Aid extends this by providing culturally adapted materials using the Ophelia/HealthLit methodology, specifically addressing health literacy barriers in low-literacy populations and correcting myths that suppress medication adherence.</w:t>
      </w:r>
    </w:p>
    <w:p>
      <w:pPr>
        <w:pStyle w:val="Heading3"/>
        <w:spacing w:before="180" w:after="80"/>
      </w:pPr>
      <w:r>
        <w:rPr>
          <w:rFonts w:ascii="Arial" w:cs="Arial" w:eastAsia="Arial" w:hAnsi="Arial"/>
          <w:b/>
          <w:bCs/>
          <w:color w:val="1A5C7A"/>
          <w:sz w:val="24"/>
          <w:szCs w:val="24"/>
        </w:rPr>
        <w:t xml:space="preserve">3.2.3 Self-Monitoring of Disease Parameters</w:t>
      </w:r>
    </w:p>
    <w:p>
      <w:pPr>
        <w:spacing w:before="80" w:after="120"/>
      </w:pPr>
      <w:r>
        <w:rPr>
          <w:rFonts w:ascii="Arial" w:cs="Arial" w:eastAsia="Arial" w:hAnsi="Arial"/>
          <w:color w:val="000000"/>
          <w:sz w:val="22"/>
          <w:szCs w:val="22"/>
        </w:rPr>
        <w:t xml:space="preserve">Group self-monitoring of BP and blood glucose creates actionable feedback (Tucker 2017: −3.2 mmHg SBP when monitoring combined with co-intervention). The Health Diary structures daily self-monitoring between PSG sessions, maintaining the monitoring signal on a daily rather than monthly frequency.</w:t>
      </w:r>
    </w:p>
    <w:p>
      <w:pPr>
        <w:spacing w:before="0" w:after="60"/>
      </w:pPr>
    </w:p>
    <w:p>
      <w:pPr>
        <w:pStyle w:val="Heading2"/>
        <w:spacing w:before="240" w:after="120"/>
      </w:pPr>
      <w:r>
        <w:rPr>
          <w:rFonts w:ascii="Arial" w:cs="Arial" w:eastAsia="Arial" w:hAnsi="Arial"/>
          <w:b/>
          <w:bCs/>
          <w:color w:val="1F4E79"/>
          <w:sz w:val="28"/>
          <w:szCs w:val="28"/>
        </w:rPr>
        <w:t xml:space="preserve">3.3 Social Mechanisms</w:t>
      </w:r>
    </w:p>
    <w:p>
      <w:pPr>
        <w:pStyle w:val="Heading3"/>
        <w:spacing w:before="180" w:after="80"/>
      </w:pPr>
      <w:r>
        <w:rPr>
          <w:rFonts w:ascii="Arial" w:cs="Arial" w:eastAsia="Arial" w:hAnsi="Arial"/>
          <w:b/>
          <w:bCs/>
          <w:color w:val="1A5C7A"/>
          <w:sz w:val="24"/>
          <w:szCs w:val="24"/>
        </w:rPr>
        <w:t xml:space="preserve">3.3.1 Peer Modelling and Vicarious Learning</w:t>
      </w:r>
    </w:p>
    <w:p>
      <w:pPr>
        <w:spacing w:before="80" w:after="120"/>
      </w:pPr>
      <w:r>
        <w:rPr>
          <w:rFonts w:ascii="Arial" w:cs="Arial" w:eastAsia="Arial" w:hAnsi="Arial"/>
          <w:color w:val="000000"/>
          <w:sz w:val="22"/>
          <w:szCs w:val="22"/>
        </w:rPr>
        <w:t xml:space="preserve">Peer leader with well-controlled disease as living proof of concept. Social cognitive theory mechanism. The NCD Club extends this to the community level: public testimonials and events normalise disease management.</w:t>
      </w:r>
    </w:p>
    <w:p>
      <w:pPr>
        <w:pStyle w:val="Heading3"/>
        <w:spacing w:before="180" w:after="80"/>
      </w:pPr>
      <w:r>
        <w:rPr>
          <w:rFonts w:ascii="Arial" w:cs="Arial" w:eastAsia="Arial" w:hAnsi="Arial"/>
          <w:b/>
          <w:bCs/>
          <w:color w:val="1A5C7A"/>
          <w:sz w:val="24"/>
          <w:szCs w:val="24"/>
        </w:rPr>
        <w:t xml:space="preserve">3.3.2 Social Accountability and Group Norms</w:t>
      </w:r>
    </w:p>
    <w:p>
      <w:pPr>
        <w:spacing w:before="80" w:after="120"/>
      </w:pPr>
      <w:r>
        <w:rPr>
          <w:rFonts w:ascii="Arial" w:cs="Arial" w:eastAsia="Arial" w:hAnsi="Arial"/>
          <w:color w:val="000000"/>
          <w:sz w:val="22"/>
          <w:szCs w:val="22"/>
        </w:rPr>
        <w:t xml:space="preserve">Regular group meetings create social accountability for adherence. The NCD Club shifts community-level norms through structural changes, creating an enabling environment that extends social accountability beyond the PSG group.</w:t>
      </w:r>
    </w:p>
    <w:p>
      <w:pPr>
        <w:pStyle w:val="Heading3"/>
        <w:spacing w:before="180" w:after="80"/>
      </w:pPr>
      <w:r>
        <w:rPr>
          <w:rFonts w:ascii="Arial" w:cs="Arial" w:eastAsia="Arial" w:hAnsi="Arial"/>
          <w:b/>
          <w:bCs/>
          <w:color w:val="1A5C7A"/>
          <w:sz w:val="24"/>
          <w:szCs w:val="24"/>
        </w:rPr>
        <w:t xml:space="preserve">3.3.3 Psychological Support and Distress Reduction</w:t>
      </w:r>
    </w:p>
    <w:p>
      <w:pPr>
        <w:spacing w:before="80" w:after="120"/>
      </w:pPr>
      <w:r>
        <w:rPr>
          <w:rFonts w:ascii="Arial" w:cs="Arial" w:eastAsia="Arial" w:hAnsi="Arial"/>
          <w:color w:val="000000"/>
          <w:sz w:val="22"/>
          <w:szCs w:val="22"/>
        </w:rPr>
        <w:t xml:space="preserve">PSGs reduce diabetes distress through normalisation (Fisher 2017: 58.8% mediation). The Family NCD Coach extends psychological support into the home environment, reducing isolation and burnout driven by unsupported home-based self-management.</w:t>
      </w:r>
    </w:p>
    <w:p>
      <w:pPr>
        <w:pStyle w:val="Heading3"/>
        <w:spacing w:before="180" w:after="80"/>
      </w:pPr>
      <w:r>
        <w:rPr>
          <w:rFonts w:ascii="Arial" w:cs="Arial" w:eastAsia="Arial" w:hAnsi="Arial"/>
          <w:b/>
          <w:bCs/>
          <w:color w:val="1A5C7A"/>
          <w:sz w:val="24"/>
          <w:szCs w:val="24"/>
        </w:rPr>
        <w:t xml:space="preserve">3.3.4 Stigma Reduction and Normalisation</w:t>
      </w:r>
    </w:p>
    <w:p>
      <w:pPr>
        <w:spacing w:before="80" w:after="120"/>
      </w:pPr>
      <w:r>
        <w:rPr>
          <w:rFonts w:ascii="Arial" w:cs="Arial" w:eastAsia="Arial" w:hAnsi="Arial"/>
          <w:color w:val="000000"/>
          <w:sz w:val="22"/>
          <w:szCs w:val="22"/>
        </w:rPr>
        <w:t xml:space="preserve">PSGs create a safe disclosure environment. The Communication Aid and NCD Club operate at the community level to normalise NCD diagnosis through public events, media, and street plays, reducing population-level stigma that PSG alone cannot address.</w:t>
      </w:r>
    </w:p>
    <w:p>
      <w:pPr>
        <w:pStyle w:val="Heading3"/>
        <w:spacing w:before="180" w:after="80"/>
      </w:pPr>
      <w:r>
        <w:rPr>
          <w:rFonts w:ascii="Arial" w:cs="Arial" w:eastAsia="Arial" w:hAnsi="Arial"/>
          <w:b/>
          <w:bCs/>
          <w:color w:val="1A5C7A"/>
          <w:sz w:val="24"/>
          <w:szCs w:val="24"/>
        </w:rPr>
        <w:t xml:space="preserve">3.3.5 Microfinance and Economic Capability</w:t>
      </w:r>
    </w:p>
    <w:p>
      <w:pPr>
        <w:spacing w:before="80" w:after="120"/>
      </w:pPr>
      <w:r>
        <w:rPr>
          <w:rFonts w:ascii="Arial" w:cs="Arial" w:eastAsia="Arial" w:hAnsi="Arial"/>
          <w:color w:val="000000"/>
          <w:sz w:val="22"/>
          <w:szCs w:val="22"/>
        </w:rPr>
        <w:t xml:space="preserve">SHG-linked PSGs access SHG savings (BIGPIC Vedanthan 2021: −5 mmHg additional SBP). The Family NCD Coach adds family-level financial planning for medication costs. Out-of-pocket expenditure averages ₹9,014/quarter for HTN/DM.</w:t>
      </w:r>
    </w:p>
    <w:p>
      <w:pPr>
        <w:spacing w:before="0" w:after="60"/>
      </w:pPr>
    </w:p>
    <w:p>
      <w:pPr>
        <w:pStyle w:val="Heading2"/>
        <w:spacing w:before="240" w:after="120"/>
      </w:pPr>
      <w:r>
        <w:rPr>
          <w:rFonts w:ascii="Arial" w:cs="Arial" w:eastAsia="Arial" w:hAnsi="Arial"/>
          <w:b/>
          <w:bCs/>
          <w:color w:val="1F4E79"/>
          <w:sz w:val="28"/>
          <w:szCs w:val="28"/>
        </w:rPr>
        <w:t xml:space="preserve">3.4 System-Level Mechanisms</w:t>
      </w:r>
    </w:p>
    <w:p>
      <w:pPr>
        <w:pStyle w:val="Heading3"/>
        <w:spacing w:before="180" w:after="80"/>
      </w:pPr>
      <w:r>
        <w:rPr>
          <w:rFonts w:ascii="Arial" w:cs="Arial" w:eastAsia="Arial" w:hAnsi="Arial"/>
          <w:b/>
          <w:bCs/>
          <w:color w:val="1A5C7A"/>
          <w:sz w:val="24"/>
          <w:szCs w:val="24"/>
        </w:rPr>
        <w:t xml:space="preserve">3.4.1 Linkage to Care and Retention</w:t>
      </w:r>
    </w:p>
    <w:p>
      <w:pPr>
        <w:spacing w:before="80" w:after="120"/>
      </w:pPr>
      <w:r>
        <w:rPr>
          <w:rFonts w:ascii="Arial" w:cs="Arial" w:eastAsia="Arial" w:hAnsi="Arial"/>
          <w:color w:val="000000"/>
          <w:sz w:val="22"/>
          <w:szCs w:val="22"/>
        </w:rPr>
        <w:t xml:space="preserve">PSGs facilitate linkage (IHCI: 37%→68% retention with community-facilitated enrolment). The NCD Club adds community-level demand creation through awareness events and BP monitoring camps. NPCDCS HWC alignment enables linkage at scale.</w:t>
      </w:r>
    </w:p>
    <w:p>
      <w:pPr>
        <w:pStyle w:val="Heading3"/>
        <w:spacing w:before="180" w:after="80"/>
      </w:pPr>
      <w:r>
        <w:rPr>
          <w:rFonts w:ascii="Arial" w:cs="Arial" w:eastAsia="Arial" w:hAnsi="Arial"/>
          <w:b/>
          <w:bCs/>
          <w:color w:val="1A5C7A"/>
          <w:sz w:val="24"/>
          <w:szCs w:val="24"/>
        </w:rPr>
        <w:t xml:space="preserve">3.4.2 Medication Adherence Support</w:t>
      </w:r>
    </w:p>
    <w:p>
      <w:pPr>
        <w:spacing w:before="80" w:after="120"/>
      </w:pPr>
      <w:r>
        <w:rPr>
          <w:rFonts w:ascii="Arial" w:cs="Arial" w:eastAsia="Arial" w:hAnsi="Arial"/>
          <w:color w:val="000000"/>
          <w:sz w:val="22"/>
          <w:szCs w:val="22"/>
        </w:rPr>
        <w:t xml:space="preserve">Peer support: OR 1.35 for DM adherence (Patil SR); RR 1.48 for HTN adherence (Global Heart 2024). Family NCD Coach adds family-level adherence support. Communication Aid addresses belief-based non-adherence through myth correction (OR 1.1–1.2).</w:t>
      </w:r>
    </w:p>
    <w:p>
      <w:pPr>
        <w:pStyle w:val="Heading3"/>
        <w:spacing w:before="180" w:after="80"/>
      </w:pPr>
      <w:r>
        <w:rPr>
          <w:rFonts w:ascii="Arial" w:cs="Arial" w:eastAsia="Arial" w:hAnsi="Arial"/>
          <w:b/>
          <w:bCs/>
          <w:color w:val="1A5C7A"/>
          <w:sz w:val="24"/>
          <w:szCs w:val="24"/>
        </w:rPr>
        <w:t xml:space="preserve">3.4.3 Reducing Therapeutic Inertia</w:t>
      </w:r>
    </w:p>
    <w:p>
      <w:pPr>
        <w:spacing w:before="80" w:after="120"/>
      </w:pPr>
      <w:r>
        <w:rPr>
          <w:rFonts w:ascii="Arial" w:cs="Arial" w:eastAsia="Arial" w:hAnsi="Arial"/>
          <w:color w:val="000000"/>
          <w:sz w:val="22"/>
          <w:szCs w:val="22"/>
        </w:rPr>
        <w:t xml:space="preserve">PSG-mediated patient empowerment, self-monitoring data, and self-advocacy skills partially reduce TI indirectly. Capacity Building equips ASHAs/CHOs to facilitate effective clinical referral, further supporting TI reduction by improving the quality of facility-community linkage.</w:t>
      </w:r>
    </w:p>
    <w:p>
      <w:pPr>
        <w:spacing w:before="0" w:after="60"/>
      </w:pPr>
    </w:p>
    <w:p>
      <w:pPr>
        <w:pStyle w:val="Heading2"/>
        <w:spacing w:before="240" w:after="120"/>
      </w:pPr>
      <w:r>
        <w:rPr>
          <w:rFonts w:ascii="Arial" w:cs="Arial" w:eastAsia="Arial" w:hAnsi="Arial"/>
          <w:b/>
          <w:bCs/>
          <w:color w:val="1F4E79"/>
          <w:sz w:val="28"/>
          <w:szCs w:val="28"/>
        </w:rPr>
        <w:t xml:space="preserve">3.5 The eCES Package — Six Interventions,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E8F4FD" w:val="clear"/>
            <w:tcMar>
              <w:top w:type="dxa" w:w="120"/>
              <w:left w:type="dxa" w:w="200"/>
              <w:bottom w:type="dxa" w:w="120"/>
              <w:right w:type="dxa" w:w="200"/>
            </w:tcMar>
          </w:tcPr>
          <w:p>
            <w:pPr>
              <w:spacing w:before="60" w:after="80"/>
            </w:pPr>
            <w:r>
              <w:rPr>
                <w:rFonts w:ascii="Arial" w:cs="Arial" w:eastAsia="Arial" w:hAnsi="Arial"/>
                <w:b/>
                <w:bCs/>
                <w:color w:val="17375E"/>
                <w:sz w:val="22"/>
                <w:szCs w:val="22"/>
              </w:rPr>
              <w:t xml:space="preserve">📖 eCES Framework</w:t>
            </w:r>
          </w:p>
          <w:p>
            <w:pPr>
              <w:spacing w:before="40" w:after="40"/>
            </w:pPr>
            <w:r>
              <w:rPr>
                <w:rFonts w:ascii="Arial" w:cs="Arial" w:eastAsia="Arial" w:hAnsi="Arial"/>
                <w:color w:val="000000"/>
                <w:sz w:val="22"/>
                <w:szCs w:val="22"/>
              </w:rPr>
              <w:t xml:space="preserve">The extended Community Engagement Strategy (eCES) is a six-intervention package structured across three tiers: Part A (patient and family level), Part B (community mobilisation level), and Part C (system readiness, cross-cutting). PSG (Part B) is the only component with existing RCT evidence. For all other components, STEPS-INDIA constitutes the evidence-generation exercise. Parameters for non-PSG components are theoretically-grounded assumptions with structural (not statistical) uncertainty.</w:t>
            </w:r>
          </w:p>
        </w:tc>
      </w:tr>
    </w:tbl>
    <w:p>
      <w:pPr>
        <w:spacing w:before="0" w:after="60"/>
      </w:pPr>
    </w:p>
    <w:p>
      <w:pPr>
        <w:pStyle w:val="Heading3"/>
        <w:spacing w:before="180" w:after="80"/>
      </w:pPr>
      <w:r>
        <w:rPr>
          <w:rFonts w:ascii="Arial" w:cs="Arial" w:eastAsia="Arial" w:hAnsi="Arial"/>
          <w:b/>
          <w:bCs/>
          <w:color w:val="1A5C7A"/>
          <w:sz w:val="24"/>
          <w:szCs w:val="24"/>
        </w:rPr>
        <w:t xml:space="preserve">Part A — Patient &amp; Family</w:t>
      </w:r>
    </w:p>
    <w:p>
      <w:pPr>
        <w:spacing w:before="140" w:after="60"/>
      </w:pPr>
      <w:r>
        <w:rPr>
          <w:rFonts w:ascii="Arial" w:cs="Arial" w:eastAsia="Arial" w:hAnsi="Arial"/>
          <w:b/>
          <w:bCs/>
          <w:color w:val="6B3A00"/>
          <w:sz w:val="22"/>
          <w:szCs w:val="22"/>
        </w:rPr>
        <w:t xml:space="preserve">1. Health Diary (Goal Setting) [Part A — Patient &amp; Family]</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1: Self-management without structured direction</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Colour-coded daily diary for BP/BG targets, medications, diet, and physical activity. Demonstrated by CHO at enrolment; patient fills daily. Mechanism: concrete targets → daily self-monitoring → timely detection of lapses → adherence. Covers goal-setting, symptom recognition, and basic emergency response (e.g. hypoglycaemia, hypertensive urgency).</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Tucker 2017 IPD meta-analysis (25 RCTs): home BP self-monitoring −3.2 mmHg SBP when combined with co-intervention. Raj India pill count adherence: p=0.007 significant improvement. Uhlig meta-analysis: self-monitoring alone −3.82 mmHg. Ophelia India/Chandigarh (Passi &amp; Kaur 2025): participatory health literacy → reduced salt, improved PA, improved BP adherence and control.</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Enters PSG CLD at Self-Efficacy (+) via goal mastery feedback loop; Disease Knowledge (+) via symptom awareness; Medication Adherence (+) directly via reminder structure. Also activates BP Self-Monitoring/SMBG node (+).</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Proxy evidence — no standalone RCT. Parameter anchor: −1.5 to −2.5 mmHg SBP; −0.15 to −0.25% HbA1c.</w:t>
      </w:r>
    </w:p>
    <w:p>
      <w:pPr>
        <w:spacing w:before="0" w:after="60"/>
      </w:pPr>
    </w:p>
    <w:p>
      <w:pPr>
        <w:spacing w:before="140" w:after="60"/>
      </w:pPr>
      <w:r>
        <w:rPr>
          <w:rFonts w:ascii="Arial" w:cs="Arial" w:eastAsia="Arial" w:hAnsi="Arial"/>
          <w:b/>
          <w:bCs/>
          <w:color w:val="1A5C7A"/>
          <w:sz w:val="22"/>
          <w:szCs w:val="22"/>
        </w:rPr>
        <w:t xml:space="preserve">2. Family NCD Coach [Part A — Patient &amp; Family]</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2: Family involvement stops at reminders; family competence as NCD co-manager absent</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ASHA-led structured home visits (fortnightly–monthly). Family member trained as active NCD co-manager: medication tracking, dietary co-preparation, PA facilitation, emergency response. Monthly CHO mentorship of ASHAs to maintain fidelity. Sessions are structured around a validated Family Coach Manual.</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Scheurer SR (Diabetes Care): 9/14 studies positive for family support in DM management. Aikens adherence improvement with family + telemonitoring. K-DPP: significant improvement in dietary behaviour and HRQoL in Kerala community. Proxy India evidence via ASHA home visit literature (Garg 2023 Chhattisgarh).</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Enters CLD at Dietary Behaviour (+) — family-modified cooking practices; Physical Activity (+) — joint walking; Medication Adherence (+) — family reinforcement; Psychological Stress/Distress (−) — family emotional support reduces isolation burden. Also dampens Economic Barrier (−) via shared financial planning.</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Theoretical with proxy evidence. Parameter anchor: adherence OR 1.2–1.4; −1.0 to −2.0 mmHg HTN; −0.5 to −1.0% HbA1c. Epistemic status: structural uncertainty.</w:t>
      </w:r>
    </w:p>
    <w:p>
      <w:pPr>
        <w:spacing w:before="0" w:after="60"/>
      </w:pPr>
    </w:p>
    <w:p>
      <w:pPr>
        <w:pStyle w:val="Heading3"/>
        <w:spacing w:before="180" w:after="80"/>
      </w:pPr>
      <w:r>
        <w:rPr>
          <w:rFonts w:ascii="Arial" w:cs="Arial" w:eastAsia="Arial" w:hAnsi="Arial"/>
          <w:b/>
          <w:bCs/>
          <w:color w:val="1A5C7A"/>
          <w:sz w:val="24"/>
          <w:szCs w:val="24"/>
        </w:rPr>
        <w:t xml:space="preserve">Part B — Community Mobilisation</w:t>
      </w:r>
    </w:p>
    <w:p>
      <w:pPr>
        <w:spacing w:before="140" w:after="60"/>
      </w:pPr>
      <w:r>
        <w:rPr>
          <w:rFonts w:ascii="Arial" w:cs="Arial" w:eastAsia="Arial" w:hAnsi="Arial"/>
          <w:b/>
          <w:bCs/>
          <w:color w:val="17375E"/>
          <w:sz w:val="22"/>
          <w:szCs w:val="22"/>
        </w:rPr>
        <w:t xml:space="preserve">3. Peer Support Group (PSG) — Swasthya Saheli/Mitra [Part B — Community Mobilisation]</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3: Professional care cannot replicate low-cost peer modelling and social accountability at scale</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Monthly peer groups (8–14 members), trained peer leaders with lived experience and well-controlled disease, structured curriculum (lifestyle, DSME, medication adherence, complication awareness, psychosocial support), linked to HWC. Peer leader receives 2-day training + quarterly refreshers. Sessions use BP cuffs, glucometers, structured handbooks, and audio-visual aids.</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STEPS-INDIA scoping review meta-analysis: SBP −4.29 mmHg (95% CI −6.74 to −1.85), HbA1c −0.90% (95% CI −1.51 to −0.29) for CHW/lay-worker-led LMIC settings. Avery BJGP 2025 (54 RCTs, n=13,976): −4.8 mmHg lifestyle education groups. MoPoTsyo (Rao 2020): −0.53% HbA1c. Suseela 2022 Kerala SHG-HTN: adherence 81.5% vs 51.9%. ACE-ME Karnataka: HTN control 54%→76%, DM 27%→42%. Fisher 2017: 58.8% mediation via self-efficacy/stress reduction.</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Primary entry node of PSG-only base CLDs. 24 arrows (HTN) / 30 arrows (DM). Activates 3R+2B loops (HTN) and 4R+2B loops (DM). All PSG-only CLD content described in Section 5.</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Trial evidence exists for PSG/CHW-led models. India-specific anchors available. Central parameter estimate for STEPS-INDIA workbench.</w:t>
      </w:r>
    </w:p>
    <w:p>
      <w:pPr>
        <w:spacing w:before="0" w:after="60"/>
      </w:pPr>
    </w:p>
    <w:p>
      <w:pPr>
        <w:spacing w:before="140" w:after="60"/>
      </w:pPr>
      <w:r>
        <w:rPr>
          <w:rFonts w:ascii="Arial" w:cs="Arial" w:eastAsia="Arial" w:hAnsi="Arial"/>
          <w:b/>
          <w:bCs/>
          <w:color w:val="4A7A1A"/>
          <w:sz w:val="22"/>
          <w:szCs w:val="22"/>
        </w:rPr>
        <w:t xml:space="preserve">4. NCD Club (Sangathan) [Part B — Community Mobilisation]</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4: No structured community coalition to create enabling environments and drive demand</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Community coalition with quarterly meetings: SHG representatives, PRI members, patient representatives (PSG members), youth leaders, and HWC staff. Develops Community Health Action Plan (CHAP) with specific NCD targets. Event-based mobilisation: NCD awareness days, walking campaigns, healthy food markets. Creates structural changes: walking paths, healthy canteen options, public BP monitoring stations.</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BMC Public Health meta-analysis (18 LMICs): RR BP control 1.48 (95% CI 1.40–1.57) for community-based interventions — bundles CHW, education, community mobilisation. Note: bundled estimate; NCD Club-specific evidence is theoretical. No RCT evidence for stand-alone NCD Club type intervention. Weakest evidence base among eCES components.</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Enters CLD at Population NCD Awareness (+) — creates enabling environment node; Physical Activity (+) — walking paths reduce environmental barriers; Dietary Behaviour (+) — healthy food availability; Linkage to Care (+) — community mobilisation as demand creation. Operates through community-level structural changes rather than individual-level mechanisms.</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Theoretical. No trial evidence for NCD Club specifically. Slider range in app: 0.25× to 2.0× with explicit 'no trial evidence' label. Structural uncertainty — STEPS-INDIA is evidence generation for this component.</w:t>
      </w:r>
    </w:p>
    <w:p>
      <w:pPr>
        <w:spacing w:before="0" w:after="60"/>
      </w:pPr>
    </w:p>
    <w:p>
      <w:pPr>
        <w:pStyle w:val="Heading3"/>
        <w:spacing w:before="180" w:after="80"/>
      </w:pPr>
      <w:r>
        <w:rPr>
          <w:rFonts w:ascii="Arial" w:cs="Arial" w:eastAsia="Arial" w:hAnsi="Arial"/>
          <w:b/>
          <w:bCs/>
          <w:color w:val="1A5C7A"/>
          <w:sz w:val="24"/>
          <w:szCs w:val="24"/>
        </w:rPr>
        <w:t xml:space="preserve">Part C — System Readiness (Cross-cutting)</w:t>
      </w:r>
    </w:p>
    <w:p>
      <w:pPr>
        <w:spacing w:before="140" w:after="60"/>
      </w:pPr>
      <w:r>
        <w:rPr>
          <w:rFonts w:ascii="Arial" w:cs="Arial" w:eastAsia="Arial" w:hAnsi="Arial"/>
          <w:b/>
          <w:bCs/>
          <w:color w:val="7A1A6B"/>
          <w:sz w:val="22"/>
          <w:szCs w:val="22"/>
        </w:rPr>
        <w:t xml:space="preserve">5. Capacity Building Programme [Part C — System Readiness (Cross-cutting)]</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5: ASHA/CHO capacity for NCD self-management support is insufficient at baseline</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Cascade training architecture: Project team trains CHOs; CHOs train ASHAs; monthly CHO-led mentorship of ASHAs; quarterly refresher training. Covers eCES facilitation skills, NCD clinical knowledge, Health Diary use, community mobilisation, referral protocols, data recording. Evaluated via fidelity checklists and competency assessments.</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Garg 2023 Chhattisgarh Mitanin CHW: NCD screening 80.2% vs 37.9% (CHW-trained vs control), adherence 70.3% vs 55.1%. Abdel-All 2018 South India ASHA training: significant knowledge improvement. Bihar capacity building: knowledge 12.9→22.1 but skill quality satisfactory only 54.1% — indicating knowledge-skill gap requiring hands-on mentorship. WHO-CHW evidence synthesis: structured training + supervision improves NCD outcomes.</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Functions as a cross-cutting fidelity multiplier: baseline ASHA capacity = 0.5–0.6× modifier on all eCES pathway effects. With eCES Capacity Building: multiplier approaches 1.0×. Excellent mentorship can achieve 1.1–1.2× modifier. Applied uniformly across all community engagement pathways. Does not add new CLD nodes; modifies the weight of existing arrows.</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Good India-specific evidence for knowledge/skill gain. Multiplier effect on outcomes is theoretical. Slider range 0.5× (low capacity) to 1.2× (excellent mentorship).</w:t>
      </w:r>
    </w:p>
    <w:p>
      <w:pPr>
        <w:spacing w:before="0" w:after="60"/>
      </w:pPr>
    </w:p>
    <w:p>
      <w:pPr>
        <w:spacing w:before="140" w:after="60"/>
      </w:pPr>
      <w:r>
        <w:rPr>
          <w:rFonts w:ascii="Arial" w:cs="Arial" w:eastAsia="Arial" w:hAnsi="Arial"/>
          <w:b/>
          <w:bCs/>
          <w:color w:val="7A1A6B"/>
          <w:sz w:val="22"/>
          <w:szCs w:val="22"/>
        </w:rPr>
        <w:t xml:space="preserve">6. NCD Communication Aid [Part C — System Readiness (Cross-cutting)]</w:t>
      </w:r>
    </w:p>
    <w:p>
      <w:pPr>
        <w:spacing w:before="80" w:after="120"/>
      </w:pPr>
      <w:r>
        <w:rPr>
          <w:rFonts w:ascii="Arial" w:cs="Arial" w:eastAsia="Arial" w:hAnsi="Arial"/>
          <w:b/>
          <w:bCs/>
          <w:color w:val="000000"/>
          <w:sz w:val="22"/>
          <w:szCs w:val="22"/>
        </w:rPr>
        <w:t xml:space="preserve">Gap addressed: </w:t>
      </w:r>
      <w:r>
        <w:rPr>
          <w:rFonts w:ascii="Arial" w:cs="Arial" w:eastAsia="Arial" w:hAnsi="Arial"/>
          <w:color w:val="000000"/>
          <w:sz w:val="22"/>
          <w:szCs w:val="22"/>
        </w:rPr>
        <w:t xml:space="preserve">Gap 6: Culturally inappropriate health communication fails to shift beliefs, myths, and health literacy</w:t>
      </w:r>
    </w:p>
    <w:p>
      <w:pPr>
        <w:spacing w:before="80" w:after="120"/>
      </w:pPr>
      <w:r>
        <w:rPr>
          <w:rFonts w:ascii="Arial" w:cs="Arial" w:eastAsia="Arial" w:hAnsi="Arial"/>
          <w:b/>
          <w:bCs/>
          <w:color w:val="000000"/>
          <w:sz w:val="22"/>
          <w:szCs w:val="22"/>
        </w:rPr>
        <w:t xml:space="preserve">Mechanism: </w:t>
      </w:r>
      <w:r>
        <w:rPr>
          <w:rFonts w:ascii="Arial" w:cs="Arial" w:eastAsia="Arial" w:hAnsi="Arial"/>
          <w:color w:val="000000"/>
          <w:sz w:val="22"/>
          <w:szCs w:val="22"/>
        </w:rPr>
        <w:t xml:space="preserve">Co-designed culturally adapted materials using Ophelia/HealthLit methodology: visual aids (low-literacy pictorial guides), audiovisual content (videos in local language), street plays (nukkad natak), songs (NCD jingles), and myth-busting sessions (medication safety, disease causation, insulin stigma). Formative data from STEPS-INDIA sites inform content. Materials co-developed with patient groups.</w:t>
      </w:r>
    </w:p>
    <w:p>
      <w:pPr>
        <w:spacing w:before="80" w:after="120"/>
      </w:pPr>
      <w:r>
        <w:rPr>
          <w:rFonts w:ascii="Arial" w:cs="Arial" w:eastAsia="Arial" w:hAnsi="Arial"/>
          <w:b/>
          <w:bCs/>
          <w:color w:val="000000"/>
          <w:sz w:val="22"/>
          <w:szCs w:val="22"/>
        </w:rPr>
        <w:t xml:space="preserve">Evidence: </w:t>
      </w:r>
      <w:r>
        <w:rPr>
          <w:rFonts w:ascii="Arial" w:cs="Arial" w:eastAsia="Arial" w:hAnsi="Arial"/>
          <w:color w:val="000000"/>
          <w:sz w:val="22"/>
          <w:szCs w:val="22"/>
        </w:rPr>
        <w:t xml:space="preserve">Ophelia India (Passi &amp; Kaur 2025 Chandigarh): participatory health literacy → reduced salt intake, improved PA, improved BP adherence and control. mHealth tailored advice: SBP −2.92 mmHg vs non-tailored −0.72 mmHg — tailoring doubles effect. STEPS-INDIA scoping review: culturally-adapted materials cited in 12/34 PSG studies as contributing to improved adherence.</w:t>
      </w:r>
    </w:p>
    <w:p>
      <w:pPr>
        <w:spacing w:before="80" w:after="120"/>
      </w:pPr>
      <w:r>
        <w:rPr>
          <w:rFonts w:ascii="Arial" w:cs="Arial" w:eastAsia="Arial" w:hAnsi="Arial"/>
          <w:b/>
          <w:bCs/>
          <w:color w:val="000000"/>
          <w:sz w:val="22"/>
          <w:szCs w:val="22"/>
        </w:rPr>
        <w:t xml:space="preserve">CLD entry points: </w:t>
      </w:r>
      <w:r>
        <w:rPr>
          <w:rFonts w:ascii="Arial" w:cs="Arial" w:eastAsia="Arial" w:hAnsi="Arial"/>
          <w:color w:val="000000"/>
          <w:sz w:val="22"/>
          <w:szCs w:val="22"/>
        </w:rPr>
        <w:t xml:space="preserve">Cross-cutting multiplier (1.1–1.3×) enhancement to all eCES pathways via: (a) myth correction → removes barrier to medication adherence (affects estimated 15–25% of non-adherent patients who cite medication safety fears); (b) health literacy → improved Disease Knowledge node efficiency; (c) stigma reduction from normalisation in community media. Also direct effect: Communication Aid (+) → Medication Adherence (+) OR 1.1–1.2.</w:t>
      </w:r>
    </w:p>
    <w:p>
      <w:pPr>
        <w:spacing w:before="80" w:after="120"/>
      </w:pPr>
      <w:r>
        <w:rPr>
          <w:rFonts w:ascii="Arial" w:cs="Arial" w:eastAsia="Arial" w:hAnsi="Arial"/>
          <w:b/>
          <w:bCs/>
          <w:color w:val="000000"/>
          <w:sz w:val="22"/>
          <w:szCs w:val="22"/>
        </w:rPr>
        <w:t xml:space="preserve">Epistemic status: </w:t>
      </w:r>
      <w:r>
        <w:rPr>
          <w:rFonts w:ascii="Arial" w:cs="Arial" w:eastAsia="Arial" w:hAnsi="Arial"/>
          <w:i/>
          <w:iCs/>
          <w:color w:val="C55A11"/>
          <w:sz w:val="22"/>
          <w:szCs w:val="22"/>
        </w:rPr>
        <w:t xml:space="preserve">Proxy evidence from health literacy and tailored communication literature. India-specific formative data from Chandigarh. Structural uncertainty on magnitude. Direct adherence OR 1.1–1.2; indirect multiplier 1.1–1.3×.</w:t>
      </w:r>
    </w:p>
    <w:p>
      <w:pPr>
        <w:spacing w:before="0" w:after="60"/>
      </w:pPr>
    </w:p>
    <w:p>
      <w:pPr>
        <w:pStyle w:val="Heading2"/>
        <w:spacing w:before="240" w:after="120"/>
      </w:pPr>
      <w:r>
        <w:rPr>
          <w:rFonts w:ascii="Arial" w:cs="Arial" w:eastAsia="Arial" w:hAnsi="Arial"/>
          <w:b/>
          <w:bCs/>
          <w:color w:val="1F4E79"/>
          <w:sz w:val="28"/>
          <w:szCs w:val="28"/>
        </w:rPr>
        <w:t xml:space="preserve">3.6 Mediator Pathway Map — PSG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00"/>
        <w:gridCol w:w="900"/>
        <w:gridCol w:w="2960"/>
      </w:tblGrid>
      <w:tr>
        <w:trPr>
          <w:tblHeader/>
        </w:trPr>
        <w:tc>
          <w:tcPr>
            <w:tcW w:type="dxa" w:w="22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4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9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CLD node affected</w:t>
            </w:r>
          </w:p>
        </w:tc>
        <w:tc>
          <w:tcPr>
            <w:tcW w:type="dxa" w:w="90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Polarity</w:t>
            </w:r>
          </w:p>
        </w:tc>
        <w:tc>
          <w:tcPr>
            <w:tcW w:type="dxa" w:w="2960"/>
            <w:tcBorders>
              <w:top w:val="single" w:color="FFFFFF" w:sz="4"/>
              <w:left w:val="single" w:color="FFFFFF" w:sz="4"/>
              <w:bottom w:val="single" w:color="FFFFFF" w:sz="4"/>
              <w:right w:val="single" w:color="FFFFFF" w:sz="4"/>
            </w:tcBorders>
            <w:shd w:fill="17375E" w:val="clear"/>
            <w:tcMar>
              <w:top w:type="dxa" w:w="80"/>
              <w:left w:type="dxa" w:w="120"/>
              <w:bottom w:type="dxa" w:w="80"/>
              <w:right w:type="dxa" w:w="120"/>
            </w:tcMar>
          </w:tcPr>
          <w:p>
            <w:r>
              <w:rPr>
                <w:rFonts w:ascii="Arial" w:cs="Arial" w:eastAsia="Arial" w:hAnsi="Arial"/>
                <w:b/>
                <w:bCs/>
                <w:color w:val="FFFFFF"/>
                <w:sz w:val="20"/>
                <w:szCs w:val="20"/>
              </w:rPr>
              <w:t xml:space="preserve">Primary evidence type</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Peer modelling → self-efficacy</w:t>
            </w:r>
          </w:p>
        </w:tc>
        <w:tc>
          <w:tcPr>
            <w:tcW w:type="dxa" w:w="1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Individual</w:t>
            </w:r>
          </w:p>
        </w:tc>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Self-Efficacy</w:t>
            </w:r>
          </w:p>
        </w:tc>
        <w:tc>
          <w:tcPr>
            <w:tcW w:type="dxa" w:w="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RCT mediation (Fisher 2017)</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Self-efficacy → medication adherence</w:t>
            </w:r>
          </w:p>
        </w:tc>
        <w:tc>
          <w:tcPr>
            <w:tcW w:type="dxa" w:w="1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Individual</w:t>
            </w:r>
          </w:p>
        </w:tc>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Medication Adherence</w:t>
            </w:r>
          </w:p>
        </w:tc>
        <w:tc>
          <w:tcPr>
            <w:tcW w:type="dxa" w:w="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Meta-analysis (Patil SR)</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Self-efficacy → dietary behaviour</w:t>
            </w:r>
          </w:p>
        </w:tc>
        <w:tc>
          <w:tcPr>
            <w:tcW w:type="dxa" w:w="1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Individual</w:t>
            </w:r>
          </w:p>
        </w:tc>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Dietary Behaviour</w:t>
            </w:r>
          </w:p>
        </w:tc>
        <w:tc>
          <w:tcPr>
            <w:tcW w:type="dxa" w:w="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K-DPP (Thankappan 2018)</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Self-efficacy → physical activity</w:t>
            </w:r>
          </w:p>
        </w:tc>
        <w:tc>
          <w:tcPr>
            <w:tcW w:type="dxa" w:w="1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Individual</w:t>
            </w:r>
          </w:p>
        </w:tc>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Physical Activity</w:t>
            </w:r>
          </w:p>
        </w:tc>
        <w:tc>
          <w:tcPr>
            <w:tcW w:type="dxa" w:w="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K-DPP; group exercise literature</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Disease knowledge → self-monitoring</w:t>
            </w:r>
          </w:p>
        </w:tc>
        <w:tc>
          <w:tcPr>
            <w:tcW w:type="dxa" w:w="1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Individual</w:t>
            </w:r>
          </w:p>
        </w:tc>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BP/Glucose Monitoring</w:t>
            </w:r>
          </w:p>
        </w:tc>
        <w:tc>
          <w:tcPr>
            <w:tcW w:type="dxa" w:w="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DSME meta-analyses</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Peer support → distress reduction</w:t>
            </w:r>
          </w:p>
        </w:tc>
        <w:tc>
          <w:tcPr>
            <w:tcW w:type="dxa" w:w="1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Social</w:t>
            </w:r>
          </w:p>
        </w:tc>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Psychological Stress/Distress</w:t>
            </w:r>
          </w:p>
        </w:tc>
        <w:tc>
          <w:tcPr>
            <w:tcW w:type="dxa" w:w="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Fisher 2017 (58.8% mediation)</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Stigma normalisation → care linkage</w:t>
            </w:r>
          </w:p>
        </w:tc>
        <w:tc>
          <w:tcPr>
            <w:tcW w:type="dxa" w:w="1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w:t>
            </w:r>
          </w:p>
        </w:tc>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Linkage to Care</w:t>
            </w:r>
          </w:p>
        </w:tc>
        <w:tc>
          <w:tcPr>
            <w:tcW w:type="dxa" w:w="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Kerala SHG trial; scoping review</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PSG participation → care linkage</w:t>
            </w:r>
          </w:p>
        </w:tc>
        <w:tc>
          <w:tcPr>
            <w:tcW w:type="dxa" w:w="1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System</w:t>
            </w:r>
          </w:p>
        </w:tc>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Linkage to Care</w:t>
            </w:r>
          </w:p>
        </w:tc>
        <w:tc>
          <w:tcPr>
            <w:tcW w:type="dxa" w:w="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IHCI community referral data</w:t>
            </w:r>
          </w:p>
        </w:tc>
      </w:tr>
      <w:tr>
        <w:tc>
          <w:tcPr>
            <w:tcW w:type="dxa" w:w="22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Patient empowerment → reduced TI</w:t>
            </w:r>
          </w:p>
        </w:tc>
        <w:tc>
          <w:tcPr>
            <w:tcW w:type="dxa" w:w="14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System</w:t>
            </w:r>
          </w:p>
        </w:tc>
        <w:tc>
          <w:tcPr>
            <w:tcW w:type="dxa" w:w="1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Therapeutic Inertia</w:t>
            </w:r>
          </w:p>
        </w:tc>
        <w:tc>
          <w:tcPr>
            <w:tcW w:type="dxa" w:w="90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Patient self-advocacy; IHCI protocol</w:t>
            </w:r>
          </w:p>
        </w:tc>
      </w:tr>
      <w:tr>
        <w:tc>
          <w:tcPr>
            <w:tcW w:type="dxa" w:w="22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Controlled BP/HbA1c → PSG engagement</w:t>
            </w:r>
          </w:p>
        </w:tc>
        <w:tc>
          <w:tcPr>
            <w:tcW w:type="dxa" w:w="14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Feedback</w:t>
            </w:r>
          </w:p>
        </w:tc>
        <w:tc>
          <w:tcPr>
            <w:tcW w:type="dxa" w:w="1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PSG Participation</w:t>
            </w:r>
          </w:p>
        </w:tc>
        <w:tc>
          <w:tcPr>
            <w:tcW w:type="dxa" w:w="90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w:t>
            </w:r>
          </w:p>
        </w:tc>
        <w:tc>
          <w:tcPr>
            <w:tcW w:type="dxa" w:w="296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120"/>
            </w:tcMar>
          </w:tcPr>
          <w:p>
            <w:r>
              <w:rPr>
                <w:rFonts w:ascii="Arial" w:cs="Arial" w:eastAsia="Arial" w:hAnsi="Arial"/>
                <w:color w:val="000000"/>
                <w:sz w:val="20"/>
                <w:szCs w:val="20"/>
              </w:rPr>
              <w:t xml:space="preserve">Reinforcing loop — retention data</w:t>
            </w:r>
          </w:p>
        </w:tc>
      </w:tr>
    </w:tbl>
    <w:p>
      <w:pPr>
        <w:spacing w:before="0" w:after="60"/>
      </w:pPr>
    </w:p>
    <w:p>
      <w:pPr>
        <w:spacing w:before="0" w:after="60"/>
      </w:pPr>
    </w:p>
    <w:p>
      <w:pPr>
        <w:spacing w:before="80" w:after="120"/>
      </w:pPr>
      <w:r>
        <w:rPr>
          <w:rFonts w:ascii="Arial" w:cs="Arial" w:eastAsia="Arial" w:hAnsi="Arial"/>
          <w:i/>
          <w:iCs/>
          <w:color w:val="888888"/>
          <w:sz w:val="22"/>
          <w:szCs w:val="22"/>
        </w:rPr>
        <w:t xml:space="preserve">End of Module 1 (Sections 1–3) — STEPS-INDIA CLD Technical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7375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5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2026-03-04T15:43:17.477Z</dcterms:created>
  <dcterms:modified xsi:type="dcterms:W3CDTF">2026-03-04T15:43:17.478Z</dcterms:modified>
</cp:coreProperties>
</file>

<file path=docProps/custom.xml><?xml version="1.0" encoding="utf-8"?>
<Properties xmlns="http://schemas.openxmlformats.org/officeDocument/2006/custom-properties" xmlns:vt="http://schemas.openxmlformats.org/officeDocument/2006/docPropsVTypes"/>
</file>