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7375E"/>
          <w:sz w:val="44"/>
          <w:szCs w:val="44"/>
        </w:rPr>
        <w:t xml:space="preserve">CLD Report — PSG Interventions in HTN &amp; T2DM</w:t>
      </w:r>
    </w:p>
    <w:p>
      <w:pPr>
        <w:spacing w:before="0" w:after="60"/>
      </w:pPr>
      <w:r>
        <w:rPr>
          <w:rFonts w:ascii="Arial" w:cs="Arial" w:eastAsia="Arial" w:hAnsi="Arial"/>
          <w:b/>
          <w:bCs/>
          <w:color w:val="1F4E79"/>
          <w:sz w:val="28"/>
          <w:szCs w:val="28"/>
        </w:rPr>
        <w:t xml:space="preserve">MODULE 2: Evidence Base (Section 4) — PSG + Full eCES Package</w:t>
      </w:r>
    </w:p>
    <w:p>
      <w:pPr>
        <w:pBdr>
          <w:bottom w:val="single" w:color="1F4E79" w:sz="8"/>
        </w:pBdr>
        <w:spacing w:before="0" w:after="200"/>
      </w:pPr>
      <w:r>
        <w:rPr>
          <w:rFonts w:ascii="Arial" w:cs="Arial" w:eastAsia="Arial" w:hAnsi="Arial"/>
          <w:i/>
          <w:iCs/>
          <w:color w:val="1A5C7A"/>
          <w:sz w:val="20"/>
          <w:szCs w:val="20"/>
        </w:rPr>
        <w:t xml:space="preserve">STEPS-INDIA Technical Report — For internal review only</w:t>
      </w:r>
    </w:p>
    <w:p>
      <w:pPr>
        <w:pStyle w:val="Heading1"/>
        <w:pBdr>
          <w:bottom w:val="single" w:color="1F4E79" w:sz="6" w:space="4"/>
        </w:pBdr>
        <w:spacing w:before="320" w:after="160"/>
      </w:pPr>
      <w:r>
        <w:rPr>
          <w:rFonts w:ascii="Arial" w:cs="Arial" w:eastAsia="Arial" w:hAnsi="Arial"/>
          <w:b/>
          <w:bCs/>
          <w:color w:val="17375E"/>
          <w:sz w:val="36"/>
          <w:szCs w:val="36"/>
        </w:rPr>
        <w:t xml:space="preserve">4. Evidence Base</w:t>
      </w:r>
    </w:p>
    <w:p>
      <w:pPr>
        <w:spacing w:before="80" w:after="120"/>
      </w:pPr>
      <w:r>
        <w:rPr>
          <w:rFonts w:ascii="Arial" w:cs="Arial" w:eastAsia="Arial" w:hAnsi="Arial"/>
          <w:color w:val="000000"/>
          <w:sz w:val="22"/>
          <w:szCs w:val="22"/>
        </w:rPr>
        <w:t xml:space="preserve">This section synthesises the empirical evidence underpinning the causal pathways identified in Section 3. It is organised by disease (4a HTN, 4b T2DM) and then by evidence type, followed by intermediate outcomes (4c) and limitations (4d). Section 4e addresses evidence for the four additional eCES interventions beyond PSG. Throughout, India-specific evidence is prioritised; where absent, South Asian or global LMIC evidence is used with explicit notation.</w:t>
      </w:r>
    </w:p>
    <w:p>
      <w:pPr>
        <w:spacing w:before="0" w:after="60"/>
      </w:pPr>
    </w:p>
    <w:p>
      <w:pPr>
        <w:pStyle w:val="Heading2"/>
        <w:spacing w:before="240" w:after="120"/>
      </w:pPr>
      <w:r>
        <w:rPr>
          <w:rFonts w:ascii="Arial" w:cs="Arial" w:eastAsia="Arial" w:hAnsi="Arial"/>
          <w:b/>
          <w:bCs/>
          <w:color w:val="1F4E79"/>
          <w:sz w:val="28"/>
          <w:szCs w:val="28"/>
        </w:rPr>
        <w:t xml:space="preserve">4a. Evidence for Hypertension Outcomes</w:t>
      </w:r>
    </w:p>
    <w:p>
      <w:pPr>
        <w:pStyle w:val="Heading3"/>
        <w:spacing w:before="180" w:after="80"/>
      </w:pPr>
      <w:r>
        <w:rPr>
          <w:rFonts w:ascii="Arial" w:cs="Arial" w:eastAsia="Arial" w:hAnsi="Arial"/>
          <w:b/>
          <w:bCs/>
          <w:color w:val="1A5C7A"/>
          <w:sz w:val="24"/>
          <w:szCs w:val="24"/>
        </w:rPr>
        <w:t xml:space="preserve">4a.1 Peer-Specific Meta-Analyses (HTN)</w:t>
      </w:r>
    </w:p>
    <w:p>
      <w:pPr>
        <w:spacing w:before="80" w:after="120"/>
      </w:pPr>
      <w:r>
        <w:rPr>
          <w:rFonts w:ascii="Arial" w:cs="Arial" w:eastAsia="Arial" w:hAnsi="Arial"/>
          <w:color w:val="000000"/>
          <w:sz w:val="22"/>
          <w:szCs w:val="22"/>
        </w:rPr>
        <w:t xml:space="preserve">Jeyaraman et al. (2018, PubMed 30528217): 29 RCTs (26 DM, 3 HTN), peer-led only. Pooled SBP −7.52 mmHg (95% CI −14.39 to −0.66). Critical caveats: only 3 HTN trials, wide CI, positive Egger’s test for publication bias. Treat as directional upper bound, not point estimate.</w:t>
      </w:r>
    </w:p>
    <w:p>
      <w:pPr>
        <w:spacing w:before="0" w:after="60"/>
      </w:pPr>
    </w:p>
    <w:p>
      <w:pPr>
        <w:pStyle w:val="Heading3"/>
        <w:spacing w:before="180" w:after="80"/>
      </w:pPr>
      <w:r>
        <w:rPr>
          <w:rFonts w:ascii="Arial" w:cs="Arial" w:eastAsia="Arial" w:hAnsi="Arial"/>
          <w:b/>
          <w:bCs/>
          <w:color w:val="1A5C7A"/>
          <w:sz w:val="24"/>
          <w:szCs w:val="24"/>
        </w:rPr>
        <w:t xml:space="preserve">4a.2 Group-Delivered Interventions (Broader Category)</w:t>
      </w:r>
    </w:p>
    <w:p>
      <w:pPr>
        <w:spacing w:before="80" w:after="120"/>
      </w:pPr>
      <w:r>
        <w:rPr>
          <w:rFonts w:ascii="Arial" w:cs="Arial" w:eastAsia="Arial" w:hAnsi="Arial"/>
          <w:color w:val="000000"/>
          <w:sz w:val="22"/>
          <w:szCs w:val="22"/>
        </w:rPr>
        <w:t xml:space="preserve">Avery et al. (BJGP, April 2025): 54 RCTs, 59 intervention groups, n=13,976. Most comprehensive recent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tblHeader/>
        </w:trPr>
        <w:tc>
          <w:tcPr>
            <w:tcW w:type="dxa" w:w="30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Intervention type</w:t>
            </w:r>
          </w:p>
        </w:tc>
        <w:tc>
          <w:tcPr>
            <w:tcW w:type="dxa" w:w="15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SBP reduction</w:t>
            </w:r>
          </w:p>
        </w:tc>
        <w:tc>
          <w:tcPr>
            <w:tcW w:type="dxa" w:w="15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95% CI</w:t>
            </w:r>
          </w:p>
        </w:tc>
        <w:tc>
          <w:tcPr>
            <w:tcW w:type="dxa" w:w="15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N groups</w:t>
            </w:r>
          </w:p>
        </w:tc>
        <w:tc>
          <w:tcPr>
            <w:tcW w:type="dxa" w:w="186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DBP reduction</w:t>
            </w:r>
          </w:p>
        </w:tc>
      </w:tr>
      <w:tr>
        <w:tc>
          <w:tcPr>
            <w:tcW w:type="dxa" w:w="30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Group exercise interventions</w:t>
            </w:r>
          </w:p>
        </w:tc>
        <w:tc>
          <w:tcPr>
            <w:tcW w:type="dxa" w:w="15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−7.2 mmHg</w:t>
            </w:r>
          </w:p>
        </w:tc>
        <w:tc>
          <w:tcPr>
            <w:tcW w:type="dxa" w:w="15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−9.6 to −4.7</w:t>
            </w:r>
          </w:p>
        </w:tc>
        <w:tc>
          <w:tcPr>
            <w:tcW w:type="dxa" w:w="15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23</w:t>
            </w:r>
          </w:p>
        </w:tc>
        <w:tc>
          <w:tcPr>
            <w:tcW w:type="dxa" w:w="18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−3.9 mmHg</w:t>
            </w:r>
          </w:p>
        </w:tc>
      </w:tr>
      <w:tr>
        <w:tc>
          <w:tcPr>
            <w:tcW w:type="dxa" w:w="30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Lifestyle education groups (incl. PSG-type)</w:t>
            </w:r>
          </w:p>
        </w:tc>
        <w:tc>
          <w:tcPr>
            <w:tcW w:type="dxa" w:w="15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−4.8 mmHg</w:t>
            </w:r>
          </w:p>
        </w:tc>
        <w:tc>
          <w:tcPr>
            <w:tcW w:type="dxa" w:w="15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−6.4 to −3.2</w:t>
            </w:r>
          </w:p>
        </w:tc>
        <w:tc>
          <w:tcPr>
            <w:tcW w:type="dxa" w:w="15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26</w:t>
            </w:r>
          </w:p>
        </w:tc>
        <w:tc>
          <w:tcPr>
            <w:tcW w:type="dxa" w:w="186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−2.4 mmHg</w:t>
            </w:r>
          </w:p>
        </w:tc>
      </w:tr>
      <w:tr>
        <w:tc>
          <w:tcPr>
            <w:tcW w:type="dxa" w:w="30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Psychotherapeutic group interventions</w:t>
            </w:r>
          </w:p>
        </w:tc>
        <w:tc>
          <w:tcPr>
            <w:tcW w:type="dxa" w:w="15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−3.6 mmHg</w:t>
            </w:r>
          </w:p>
        </w:tc>
        <w:tc>
          <w:tcPr>
            <w:tcW w:type="dxa" w:w="15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−6.9 to −0.3</w:t>
            </w:r>
          </w:p>
        </w:tc>
        <w:tc>
          <w:tcPr>
            <w:tcW w:type="dxa" w:w="15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7</w:t>
            </w:r>
          </w:p>
        </w:tc>
        <w:tc>
          <w:tcPr>
            <w:tcW w:type="dxa" w:w="18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−1.6 mmHg</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thick" w:color="1F4E79" w:sz="12"/>
              <w:bottom w:val="single" w:color="1F4E79" w:sz="4"/>
              <w:right w:val="single" w:color="1F4E79" w:sz="4"/>
            </w:tcBorders>
            <w:shd w:fill="F2F2F2" w:val="clear"/>
            <w:tcMar>
              <w:top w:type="dxa" w:w="120"/>
              <w:left w:type="dxa" w:w="200"/>
              <w:bottom w:type="dxa" w:w="120"/>
              <w:right w:type="dxa" w:w="200"/>
            </w:tcMar>
          </w:tcPr>
          <w:p>
            <w:pPr>
              <w:spacing w:before="60" w:after="80"/>
            </w:pPr>
            <w:r>
              <w:rPr>
                <w:rFonts w:ascii="Arial" w:cs="Arial" w:eastAsia="Arial" w:hAnsi="Arial"/>
                <w:b/>
                <w:bCs/>
                <w:color w:val="17375E"/>
                <w:sz w:val="22"/>
                <w:szCs w:val="22"/>
              </w:rPr>
              <w:t xml:space="preserve">⚠️ CLD parameterisation anchor (HTN)</w:t>
            </w:r>
          </w:p>
          <w:p>
            <w:pPr>
              <w:spacing w:before="40" w:after="40"/>
            </w:pPr>
            <w:r>
              <w:rPr>
                <w:rFonts w:ascii="Arial" w:cs="Arial" w:eastAsia="Arial" w:hAnsi="Arial"/>
                <w:color w:val="000000"/>
                <w:sz w:val="22"/>
                <w:szCs w:val="22"/>
              </w:rPr>
              <w:t xml:space="preserve">Primary estimate: −4.8 mmHg (Avery 2025, lifestyle education). CHW-LMIC anchor from STEPS-INDIA scoping review: −4.29 mmHg (95% CI −6.74 to −1.85). Peer-specific upper bound: −7.52 mmHg (Jeyaraman 2018, 3 trials only). Plausible range: −2 to −8 mmHg.</w:t>
            </w:r>
          </w:p>
        </w:tc>
      </w:tr>
    </w:tbl>
    <w:p>
      <w:pPr>
        <w:spacing w:before="0" w:after="60"/>
      </w:pPr>
    </w:p>
    <w:p>
      <w:pPr>
        <w:pStyle w:val="Heading3"/>
        <w:spacing w:before="180" w:after="80"/>
      </w:pPr>
      <w:r>
        <w:rPr>
          <w:rFonts w:ascii="Arial" w:cs="Arial" w:eastAsia="Arial" w:hAnsi="Arial"/>
          <w:b/>
          <w:bCs/>
          <w:color w:val="1A5C7A"/>
          <w:sz w:val="24"/>
          <w:szCs w:val="24"/>
        </w:rPr>
        <w:t xml:space="preserve">4a.3 India-Specific Evidence (HTN)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800"/>
        <w:gridCol w:w="2200"/>
        <w:gridCol w:w="1700"/>
        <w:gridCol w:w="1560"/>
      </w:tblGrid>
      <w:tr>
        <w:trPr>
          <w:tblHeader/>
        </w:trPr>
        <w:tc>
          <w:tcPr>
            <w:tcW w:type="dxa" w:w="18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Study</w:t>
            </w:r>
          </w:p>
        </w:tc>
        <w:tc>
          <w:tcPr>
            <w:tcW w:type="dxa" w:w="13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Design</w:t>
            </w:r>
          </w:p>
        </w:tc>
        <w:tc>
          <w:tcPr>
            <w:tcW w:type="dxa" w:w="8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22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Intervention</w:t>
            </w:r>
          </w:p>
        </w:tc>
        <w:tc>
          <w:tcPr>
            <w:tcW w:type="dxa" w:w="17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BP outcome</w:t>
            </w:r>
          </w:p>
        </w:tc>
        <w:tc>
          <w:tcPr>
            <w:tcW w:type="dxa" w:w="156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Kerala SHG-HTN (Suseela 2022, BMJ Glob Health)</w:t>
            </w:r>
          </w:p>
        </w:tc>
        <w:tc>
          <w:tcPr>
            <w:tcW w:type="dxa" w:w="13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Cluster-RCT</w:t>
            </w:r>
          </w:p>
        </w:tc>
        <w:tc>
          <w:tcPr>
            <w:tcW w:type="dxa" w:w="8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1,952</w:t>
            </w:r>
          </w:p>
        </w:tc>
        <w:tc>
          <w:tcPr>
            <w:tcW w:type="dxa" w:w="22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SHG-integrated BP monitoring, peer education</w:t>
            </w:r>
          </w:p>
        </w:tc>
        <w:tc>
          <w:tcPr>
            <w:tcW w:type="dxa" w:w="17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Significant SBP reduction (p&lt;0.05)</w:t>
            </w:r>
          </w:p>
        </w:tc>
        <w:tc>
          <w:tcPr>
            <w:tcW w:type="dxa" w:w="15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India; women; urban slum; Kerala</w:t>
            </w:r>
          </w:p>
        </w:tc>
      </w:tr>
      <w:tr>
        <w:tc>
          <w:tcPr>
            <w:tcW w:type="dxa" w:w="18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ACE-ME study (IJCMPH 2024)</w:t>
            </w:r>
          </w:p>
        </w:tc>
        <w:tc>
          <w:tcPr>
            <w:tcW w:type="dxa" w:w="13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Pre-post</w:t>
            </w:r>
          </w:p>
        </w:tc>
        <w:tc>
          <w:tcPr>
            <w:tcW w:type="dxa" w:w="8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Not reported</w:t>
            </w:r>
          </w:p>
        </w:tc>
        <w:tc>
          <w:tcPr>
            <w:tcW w:type="dxa" w:w="22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Community PSG: lifestyle, self-monitoring, peer support</w:t>
            </w:r>
          </w:p>
        </w:tc>
        <w:tc>
          <w:tcPr>
            <w:tcW w:type="dxa" w:w="17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HTN control 54%→76% (+22 pp)</w:t>
            </w:r>
          </w:p>
        </w:tc>
        <w:tc>
          <w:tcPr>
            <w:tcW w:type="dxa" w:w="156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India; rural; no randomisation</w:t>
            </w:r>
          </w:p>
        </w:tc>
      </w:tr>
      <w:tr>
        <w:tc>
          <w:tcPr>
            <w:tcW w:type="dxa" w:w="18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SEHAT trial (Joshi 2019, Am Heart J)</w:t>
            </w:r>
          </w:p>
        </w:tc>
        <w:tc>
          <w:tcPr>
            <w:tcW w:type="dxa" w:w="13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Cluster-RCT</w:t>
            </w:r>
          </w:p>
        </w:tc>
        <w:tc>
          <w:tcPr>
            <w:tcW w:type="dxa" w:w="8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1,242</w:t>
            </w:r>
          </w:p>
        </w:tc>
        <w:tc>
          <w:tcPr>
            <w:tcW w:type="dxa" w:w="22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CHW-facilitated group + individual outreach</w:t>
            </w:r>
          </w:p>
        </w:tc>
        <w:tc>
          <w:tcPr>
            <w:tcW w:type="dxa" w:w="17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SBP −5.2 mmHg (95% CI −7.1 to −3.3)</w:t>
            </w:r>
          </w:p>
        </w:tc>
        <w:tc>
          <w:tcPr>
            <w:tcW w:type="dxa" w:w="15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India; CHW model; rural</w:t>
            </w:r>
          </w:p>
        </w:tc>
      </w:tr>
      <w:tr>
        <w:tc>
          <w:tcPr>
            <w:tcW w:type="dxa" w:w="18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IHCI (Kaur 2021, J Clin Hypertens)</w:t>
            </w:r>
          </w:p>
        </w:tc>
        <w:tc>
          <w:tcPr>
            <w:tcW w:type="dxa" w:w="13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Programme cohort</w:t>
            </w:r>
          </w:p>
        </w:tc>
        <w:tc>
          <w:tcPr>
            <w:tcW w:type="dxa" w:w="8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1,240,000+</w:t>
            </w:r>
          </w:p>
        </w:tc>
        <w:tc>
          <w:tcPr>
            <w:tcW w:type="dxa" w:w="22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Standardised protocol, free medicines, Simple app [PURE HSS — no CE]</w:t>
            </w:r>
          </w:p>
        </w:tc>
        <w:tc>
          <w:tcPr>
            <w:tcW w:type="dxa" w:w="17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BP control 26.3%→59.8% (+33.5 pp); SBP −17.5 mmHg</w:t>
            </w:r>
          </w:p>
        </w:tc>
        <w:tc>
          <w:tcPr>
            <w:tcW w:type="dxa" w:w="156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India-wide; HSS ceiling estimate; not PSG alone</w:t>
            </w:r>
          </w:p>
        </w:tc>
      </w:tr>
    </w:tbl>
    <w:p>
      <w:pPr>
        <w:spacing w:before="0" w:after="60"/>
      </w:pPr>
    </w:p>
    <w:p>
      <w:pPr>
        <w:spacing w:before="0" w:after="60"/>
      </w:pPr>
    </w:p>
    <w:p>
      <w:pPr>
        <w:pStyle w:val="Heading2"/>
        <w:spacing w:before="240" w:after="120"/>
      </w:pPr>
      <w:r>
        <w:rPr>
          <w:rFonts w:ascii="Arial" w:cs="Arial" w:eastAsia="Arial" w:hAnsi="Arial"/>
          <w:b/>
          <w:bCs/>
          <w:color w:val="1F4E79"/>
          <w:sz w:val="28"/>
          <w:szCs w:val="28"/>
        </w:rPr>
        <w:t xml:space="preserve">4b. Evidence for Type 2 Diabetes Outcomes</w:t>
      </w:r>
    </w:p>
    <w:p>
      <w:pPr>
        <w:pStyle w:val="Heading3"/>
        <w:spacing w:before="180" w:after="80"/>
      </w:pPr>
      <w:r>
        <w:rPr>
          <w:rFonts w:ascii="Arial" w:cs="Arial" w:eastAsia="Arial" w:hAnsi="Arial"/>
          <w:b/>
          <w:bCs/>
          <w:color w:val="1A5C7A"/>
          <w:sz w:val="24"/>
          <w:szCs w:val="24"/>
        </w:rPr>
        <w:t xml:space="preserve">4b.1 Peer Support / DSME Meta-Analyses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300"/>
        <w:gridCol w:w="1800"/>
        <w:gridCol w:w="1660"/>
        <w:gridCol w:w="1500"/>
      </w:tblGrid>
      <w:tr>
        <w:trPr>
          <w:tblHeader/>
        </w:trPr>
        <w:tc>
          <w:tcPr>
            <w:tcW w:type="dxa" w:w="22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Meta-analysis</w:t>
            </w:r>
          </w:p>
        </w:tc>
        <w:tc>
          <w:tcPr>
            <w:tcW w:type="dxa" w:w="8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3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N studies</w:t>
            </w:r>
          </w:p>
        </w:tc>
        <w:tc>
          <w:tcPr>
            <w:tcW w:type="dxa" w:w="18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Intervention type</w:t>
            </w:r>
          </w:p>
        </w:tc>
        <w:tc>
          <w:tcPr>
            <w:tcW w:type="dxa" w:w="166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HbA1c effect</w:t>
            </w:r>
          </w:p>
        </w:tc>
        <w:tc>
          <w:tcPr>
            <w:tcW w:type="dxa" w:w="15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Jeyaraman et al. (PubMed 30528217)</w:t>
            </w:r>
          </w:p>
        </w:tc>
        <w:tc>
          <w:tcPr>
            <w:tcW w:type="dxa" w:w="8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2018</w:t>
            </w:r>
          </w:p>
        </w:tc>
        <w:tc>
          <w:tcPr>
            <w:tcW w:type="dxa" w:w="13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26 DM trials</w:t>
            </w:r>
          </w:p>
        </w:tc>
        <w:tc>
          <w:tcPr>
            <w:tcW w:type="dxa" w:w="18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Peer-led</w:t>
            </w:r>
          </w:p>
        </w:tc>
        <w:tc>
          <w:tcPr>
            <w:tcW w:type="dxa" w:w="16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MD −0.28% (95% CI −0.45 to −0.11)</w:t>
            </w:r>
          </w:p>
        </w:tc>
        <w:tc>
          <w:tcPr>
            <w:tcW w:type="dxa" w:w="15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Publication bias; moderate heterogeneity</w:t>
            </w:r>
          </w:p>
        </w:tc>
      </w:tr>
      <w:tr>
        <w:tc>
          <w:tcPr>
            <w:tcW w:type="dxa" w:w="22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Chowdhury et al. (PLoS One)</w:t>
            </w:r>
          </w:p>
        </w:tc>
        <w:tc>
          <w:tcPr>
            <w:tcW w:type="dxa" w:w="8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2024</w:t>
            </w:r>
          </w:p>
        </w:tc>
        <w:tc>
          <w:tcPr>
            <w:tcW w:type="dxa" w:w="13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44 studies</w:t>
            </w:r>
          </w:p>
        </w:tc>
        <w:tc>
          <w:tcPr>
            <w:tcW w:type="dxa" w:w="18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DSME (incl. peer-led)</w:t>
            </w:r>
          </w:p>
        </w:tc>
        <w:tc>
          <w:tcPr>
            <w:tcW w:type="dxa" w:w="166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MD −0.64%</w:t>
            </w:r>
          </w:p>
        </w:tc>
        <w:tc>
          <w:tcPr>
            <w:tcW w:type="dxa" w:w="15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LMICs; mixed facilitation</w:t>
            </w:r>
          </w:p>
        </w:tc>
      </w:tr>
      <w:tr>
        <w:tc>
          <w:tcPr>
            <w:tcW w:type="dxa" w:w="22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MoPoTsyo (Rao 2020)</w:t>
            </w:r>
          </w:p>
        </w:tc>
        <w:tc>
          <w:tcPr>
            <w:tcW w:type="dxa" w:w="8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2020</w:t>
            </w:r>
          </w:p>
        </w:tc>
        <w:tc>
          <w:tcPr>
            <w:tcW w:type="dxa" w:w="13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Programme cohort</w:t>
            </w:r>
          </w:p>
        </w:tc>
        <w:tc>
          <w:tcPr>
            <w:tcW w:type="dxa" w:w="18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Peer-educator; Cambodia/SE Asia</w:t>
            </w:r>
          </w:p>
        </w:tc>
        <w:tc>
          <w:tcPr>
            <w:tcW w:type="dxa" w:w="16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HbA1c −0.53% vs −0.24% control</w:t>
            </w:r>
          </w:p>
        </w:tc>
        <w:tc>
          <w:tcPr>
            <w:tcW w:type="dxa" w:w="15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Closest structural analogue to India PSG</w:t>
            </w:r>
          </w:p>
        </w:tc>
      </w:tr>
      <w:tr>
        <w:tc>
          <w:tcPr>
            <w:tcW w:type="dxa" w:w="22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ST2EP (Debussche 2018)</w:t>
            </w:r>
          </w:p>
        </w:tc>
        <w:tc>
          <w:tcPr>
            <w:tcW w:type="dxa" w:w="8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2018</w:t>
            </w:r>
          </w:p>
        </w:tc>
        <w:tc>
          <w:tcPr>
            <w:tcW w:type="dxa" w:w="13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1 RCT (N=361)</w:t>
            </w:r>
          </w:p>
        </w:tc>
        <w:tc>
          <w:tcPr>
            <w:tcW w:type="dxa" w:w="18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Peer support groups; Mali</w:t>
            </w:r>
          </w:p>
        </w:tc>
        <w:tc>
          <w:tcPr>
            <w:tcW w:type="dxa" w:w="166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HbA1c −1.05%</w:t>
            </w:r>
          </w:p>
        </w:tc>
        <w:tc>
          <w:tcPr>
            <w:tcW w:type="dxa" w:w="15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High-quality single-site Africa LMIC RCT</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thick" w:color="1F4E79" w:sz="12"/>
              <w:bottom w:val="single" w:color="1F4E79" w:sz="4"/>
              <w:right w:val="single" w:color="1F4E79" w:sz="4"/>
            </w:tcBorders>
            <w:shd w:fill="F2F2F2" w:val="clear"/>
            <w:tcMar>
              <w:top w:type="dxa" w:w="120"/>
              <w:left w:type="dxa" w:w="200"/>
              <w:bottom w:type="dxa" w:w="120"/>
              <w:right w:type="dxa" w:w="200"/>
            </w:tcMar>
          </w:tcPr>
          <w:p>
            <w:pPr>
              <w:spacing w:before="60" w:after="80"/>
            </w:pPr>
            <w:r>
              <w:rPr>
                <w:rFonts w:ascii="Arial" w:cs="Arial" w:eastAsia="Arial" w:hAnsi="Arial"/>
                <w:b/>
                <w:bCs/>
                <w:color w:val="17375E"/>
                <w:sz w:val="22"/>
                <w:szCs w:val="22"/>
              </w:rPr>
              <w:t xml:space="preserve">⚠️ CLD parameterisation anchor (DM)</w:t>
            </w:r>
          </w:p>
          <w:p>
            <w:pPr>
              <w:spacing w:before="40" w:after="40"/>
            </w:pPr>
            <w:r>
              <w:rPr>
                <w:rFonts w:ascii="Arial" w:cs="Arial" w:eastAsia="Arial" w:hAnsi="Arial"/>
                <w:color w:val="000000"/>
                <w:sz w:val="22"/>
                <w:szCs w:val="22"/>
              </w:rPr>
              <w:t xml:space="preserve">Central estimate: −0.53% HbA1c (MoPoTsyo). CHW-LMIC anchor: −0.90% (95% CI −1.51 to −0.29, STEPS-INDIA scoping review). Sensitivity range: −0.28% to −1.05%.</w:t>
            </w:r>
          </w:p>
        </w:tc>
      </w:tr>
    </w:tbl>
    <w:p>
      <w:pPr>
        <w:spacing w:before="0" w:after="60"/>
      </w:pPr>
    </w:p>
    <w:p>
      <w:pPr>
        <w:pStyle w:val="Heading3"/>
        <w:spacing w:before="180" w:after="80"/>
      </w:pPr>
      <w:r>
        <w:rPr>
          <w:rFonts w:ascii="Arial" w:cs="Arial" w:eastAsia="Arial" w:hAnsi="Arial"/>
          <w:b/>
          <w:bCs/>
          <w:color w:val="1A5C7A"/>
          <w:sz w:val="24"/>
          <w:szCs w:val="24"/>
        </w:rPr>
        <w:t xml:space="preserve">4b.2 India-Specific Evidence (T2DM)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2000"/>
        <w:gridCol w:w="1700"/>
        <w:gridCol w:w="1760"/>
      </w:tblGrid>
      <w:tr>
        <w:trPr>
          <w:tblHeader/>
        </w:trPr>
        <w:tc>
          <w:tcPr>
            <w:tcW w:type="dxa" w:w="18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Study</w:t>
            </w:r>
          </w:p>
        </w:tc>
        <w:tc>
          <w:tcPr>
            <w:tcW w:type="dxa" w:w="12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Design</w:t>
            </w:r>
          </w:p>
        </w:tc>
        <w:tc>
          <w:tcPr>
            <w:tcW w:type="dxa" w:w="8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20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Intervention</w:t>
            </w:r>
          </w:p>
        </w:tc>
        <w:tc>
          <w:tcPr>
            <w:tcW w:type="dxa" w:w="17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Glycaemic outcome</w:t>
            </w:r>
          </w:p>
        </w:tc>
        <w:tc>
          <w:tcPr>
            <w:tcW w:type="dxa" w:w="176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IDPP-1 (Ramachandran 2006, Diabetologia)</w:t>
            </w:r>
          </w:p>
        </w:tc>
        <w:tc>
          <w:tcPr>
            <w:tcW w:type="dxa" w:w="12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RCT</w:t>
            </w:r>
          </w:p>
        </w:tc>
        <w:tc>
          <w:tcPr>
            <w:tcW w:type="dxa" w:w="8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531</w:t>
            </w:r>
          </w:p>
        </w:tc>
        <w:tc>
          <w:tcPr>
            <w:tcW w:type="dxa" w:w="20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Lifestyle modification (individual + group)</w:t>
            </w:r>
          </w:p>
        </w:tc>
        <w:tc>
          <w:tcPr>
            <w:tcW w:type="dxa" w:w="17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Diabetes incidence RRR 28.5%; NNT 6.4</w:t>
            </w:r>
          </w:p>
        </w:tc>
        <w:tc>
          <w:tcPr>
            <w:tcW w:type="dxa" w:w="17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Prevention; India; Chennai</w:t>
            </w:r>
          </w:p>
        </w:tc>
      </w:tr>
      <w:tr>
        <w:tc>
          <w:tcPr>
            <w:tcW w:type="dxa" w:w="18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K-DPP (Thankappan 2018, PLoS Med)</w:t>
            </w:r>
          </w:p>
        </w:tc>
        <w:tc>
          <w:tcPr>
            <w:tcW w:type="dxa" w:w="12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Cluster-RCT</w:t>
            </w:r>
          </w:p>
        </w:tc>
        <w:tc>
          <w:tcPr>
            <w:tcW w:type="dxa" w:w="8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1,007</w:t>
            </w:r>
          </w:p>
        </w:tc>
        <w:tc>
          <w:tcPr>
            <w:tcW w:type="dxa" w:w="20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Peer-led group lifestyle; Kerala</w:t>
            </w:r>
          </w:p>
        </w:tc>
        <w:tc>
          <w:tcPr>
            <w:tcW w:type="dxa" w:w="17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Diet, alcohol, HRQoL improved; glycaemia NS (12% RRR, p=0.17)</w:t>
            </w:r>
          </w:p>
        </w:tc>
        <w:tc>
          <w:tcPr>
            <w:tcW w:type="dxa" w:w="176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India; peer-led; $22.5/participant/year</w:t>
            </w:r>
          </w:p>
        </w:tc>
      </w:tr>
      <w:tr>
        <w:tc>
          <w:tcPr>
            <w:tcW w:type="dxa" w:w="18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ACE-ME (IJCMPH 2024)</w:t>
            </w:r>
          </w:p>
        </w:tc>
        <w:tc>
          <w:tcPr>
            <w:tcW w:type="dxa" w:w="12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Pre-post</w:t>
            </w:r>
          </w:p>
        </w:tc>
        <w:tc>
          <w:tcPr>
            <w:tcW w:type="dxa" w:w="8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NR</w:t>
            </w:r>
          </w:p>
        </w:tc>
        <w:tc>
          <w:tcPr>
            <w:tcW w:type="dxa" w:w="20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Community PSG; diet, PA, adherence</w:t>
            </w:r>
          </w:p>
        </w:tc>
        <w:tc>
          <w:tcPr>
            <w:tcW w:type="dxa" w:w="17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DM control 27%→42% (+15 pp)</w:t>
            </w:r>
          </w:p>
        </w:tc>
        <w:tc>
          <w:tcPr>
            <w:tcW w:type="dxa" w:w="17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India; rural; no randomisation</w:t>
            </w:r>
          </w:p>
        </w:tc>
      </w:tr>
      <w:tr>
        <w:tc>
          <w:tcPr>
            <w:tcW w:type="dxa" w:w="18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Anjali et al. 2023 (Ind J Comm Med)</w:t>
            </w:r>
          </w:p>
        </w:tc>
        <w:tc>
          <w:tcPr>
            <w:tcW w:type="dxa" w:w="12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RCT</w:t>
            </w:r>
          </w:p>
        </w:tc>
        <w:tc>
          <w:tcPr>
            <w:tcW w:type="dxa" w:w="8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106</w:t>
            </w:r>
          </w:p>
        </w:tc>
        <w:tc>
          <w:tcPr>
            <w:tcW w:type="dxa" w:w="20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DSME; India</w:t>
            </w:r>
          </w:p>
        </w:tc>
        <w:tc>
          <w:tcPr>
            <w:tcW w:type="dxa" w:w="17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HbA1c −1.3%</w:t>
            </w:r>
          </w:p>
        </w:tc>
        <w:tc>
          <w:tcPr>
            <w:tcW w:type="dxa" w:w="176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India; single-site; small N</w:t>
            </w:r>
          </w:p>
        </w:tc>
      </w:tr>
    </w:tbl>
    <w:p>
      <w:pPr>
        <w:spacing w:before="0" w:after="60"/>
      </w:pPr>
    </w:p>
    <w:p>
      <w:pPr>
        <w:spacing w:before="0" w:after="60"/>
      </w:pPr>
    </w:p>
    <w:p>
      <w:pPr>
        <w:pStyle w:val="Heading2"/>
        <w:spacing w:before="240" w:after="120"/>
      </w:pPr>
      <w:r>
        <w:rPr>
          <w:rFonts w:ascii="Arial" w:cs="Arial" w:eastAsia="Arial" w:hAnsi="Arial"/>
          <w:b/>
          <w:bCs/>
          <w:color w:val="1F4E79"/>
          <w:sz w:val="28"/>
          <w:szCs w:val="28"/>
        </w:rPr>
        <w:t xml:space="preserve">4c. Evidence for Intermediate Outcomes</w:t>
      </w:r>
    </w:p>
    <w:p>
      <w:pPr>
        <w:pStyle w:val="Heading3"/>
        <w:spacing w:before="180" w:after="80"/>
      </w:pPr>
      <w:r>
        <w:rPr>
          <w:rFonts w:ascii="Arial" w:cs="Arial" w:eastAsia="Arial" w:hAnsi="Arial"/>
          <w:b/>
          <w:bCs/>
          <w:color w:val="1A5C7A"/>
          <w:sz w:val="24"/>
          <w:szCs w:val="24"/>
        </w:rPr>
        <w:t xml:space="preserve">4c.1 Medication Adherence</w:t>
      </w:r>
    </w:p>
    <w:p>
      <w:pPr>
        <w:pStyle w:val="ListParagraph"/>
        <w:numPr>
          <w:ilvl w:val="0"/>
          <w:numId w:val="2"/>
        </w:numPr>
        <w:spacing w:before="40" w:after="60"/>
      </w:pPr>
      <w:r>
        <w:rPr>
          <w:rFonts w:ascii="Arial" w:cs="Arial" w:eastAsia="Arial" w:hAnsi="Arial"/>
          <w:color w:val="000000"/>
          <w:sz w:val="22"/>
          <w:szCs w:val="22"/>
        </w:rPr>
        <w:t xml:space="preserve">DM peer support: OR 1.35 (Patil SR) ≈ +10–15 pp absolute adherence.</w:t>
      </w:r>
    </w:p>
    <w:p>
      <w:pPr>
        <w:pStyle w:val="ListParagraph"/>
        <w:numPr>
          <w:ilvl w:val="0"/>
          <w:numId w:val="2"/>
        </w:numPr>
        <w:spacing w:before="40" w:after="60"/>
      </w:pPr>
      <w:r>
        <w:rPr>
          <w:rFonts w:ascii="Arial" w:cs="Arial" w:eastAsia="Arial" w:hAnsi="Arial"/>
          <w:color w:val="000000"/>
          <w:sz w:val="22"/>
          <w:szCs w:val="22"/>
        </w:rPr>
        <w:t xml:space="preserve">HTN BP monitoring + social support: RR 1.48 (Global Heart 2024 community interventions review).</w:t>
      </w:r>
    </w:p>
    <w:p>
      <w:pPr>
        <w:pStyle w:val="ListParagraph"/>
        <w:numPr>
          <w:ilvl w:val="0"/>
          <w:numId w:val="2"/>
        </w:numPr>
        <w:spacing w:before="40" w:after="60"/>
      </w:pPr>
      <w:r>
        <w:rPr>
          <w:rFonts w:ascii="Arial" w:cs="Arial" w:eastAsia="Arial" w:hAnsi="Arial"/>
          <w:color w:val="000000"/>
          <w:sz w:val="22"/>
          <w:szCs w:val="22"/>
        </w:rPr>
        <w:t xml:space="preserve">Group-delivered HTN: RR 1.1 (Avery 2025; 11 groups; 95% CI 1.0–1.2) — significant but modest.</w:t>
      </w:r>
    </w:p>
    <w:p>
      <w:pPr>
        <w:pStyle w:val="ListParagraph"/>
        <w:numPr>
          <w:ilvl w:val="0"/>
          <w:numId w:val="2"/>
        </w:numPr>
        <w:spacing w:before="40" w:after="60"/>
      </w:pPr>
      <w:r>
        <w:rPr>
          <w:rFonts w:ascii="Arial" w:cs="Arial" w:eastAsia="Arial" w:hAnsi="Arial"/>
          <w:color w:val="000000"/>
          <w:sz w:val="22"/>
          <w:szCs w:val="22"/>
        </w:rPr>
        <w:t xml:space="preserve">Kerala SHG-HTN: 81.5% vs 51.9% adherence — strongest India-specific PSG estimate.</w:t>
      </w:r>
    </w:p>
    <w:p>
      <w:pPr>
        <w:pStyle w:val="Heading3"/>
        <w:spacing w:before="180" w:after="80"/>
      </w:pPr>
      <w:r>
        <w:rPr>
          <w:rFonts w:ascii="Arial" w:cs="Arial" w:eastAsia="Arial" w:hAnsi="Arial"/>
          <w:b/>
          <w:bCs/>
          <w:color w:val="1A5C7A"/>
          <w:sz w:val="24"/>
          <w:szCs w:val="24"/>
        </w:rPr>
        <w:t xml:space="preserve">4c.2 Self-Efficacy</w:t>
      </w:r>
    </w:p>
    <w:p>
      <w:pPr>
        <w:pStyle w:val="ListParagraph"/>
        <w:numPr>
          <w:ilvl w:val="0"/>
          <w:numId w:val="2"/>
        </w:numPr>
        <w:spacing w:before="40" w:after="60"/>
      </w:pPr>
      <w:r>
        <w:rPr>
          <w:rFonts w:ascii="Arial" w:cs="Arial" w:eastAsia="Arial" w:hAnsi="Arial"/>
          <w:color w:val="000000"/>
          <w:sz w:val="22"/>
          <w:szCs w:val="22"/>
        </w:rPr>
        <w:t xml:space="preserve">Fisher 2017 (USA): 58.8% of total PSG effect on HbA1c mediated through self-efficacy — dominant pathway.</w:t>
      </w:r>
    </w:p>
    <w:p>
      <w:pPr>
        <w:pStyle w:val="ListParagraph"/>
        <w:numPr>
          <w:ilvl w:val="0"/>
          <w:numId w:val="2"/>
        </w:numPr>
        <w:spacing w:before="40" w:after="60"/>
      </w:pPr>
      <w:r>
        <w:rPr>
          <w:rFonts w:ascii="Arial" w:cs="Arial" w:eastAsia="Arial" w:hAnsi="Arial"/>
          <w:color w:val="000000"/>
          <w:sz w:val="22"/>
          <w:szCs w:val="22"/>
        </w:rPr>
        <w:t xml:space="preserve">K-DPP: Significant self-efficacy improvements for dietary behaviour and PA at 3 years.</w:t>
      </w:r>
    </w:p>
    <w:p>
      <w:pPr>
        <w:pStyle w:val="Heading3"/>
        <w:spacing w:before="180" w:after="80"/>
      </w:pPr>
      <w:r>
        <w:rPr>
          <w:rFonts w:ascii="Arial" w:cs="Arial" w:eastAsia="Arial" w:hAnsi="Arial"/>
          <w:b/>
          <w:bCs/>
          <w:color w:val="1A5C7A"/>
          <w:sz w:val="24"/>
          <w:szCs w:val="24"/>
        </w:rPr>
        <w:t xml:space="preserve">4c.3 Lifestyle Outcomes</w:t>
      </w:r>
    </w:p>
    <w:p>
      <w:pPr>
        <w:pStyle w:val="ListParagraph"/>
        <w:numPr>
          <w:ilvl w:val="0"/>
          <w:numId w:val="2"/>
        </w:numPr>
        <w:spacing w:before="40" w:after="60"/>
      </w:pPr>
      <w:r>
        <w:rPr>
          <w:rFonts w:ascii="Arial" w:cs="Arial" w:eastAsia="Arial" w:hAnsi="Arial"/>
          <w:color w:val="000000"/>
          <w:sz w:val="22"/>
          <w:szCs w:val="22"/>
        </w:rPr>
        <w:t xml:space="preserve">Diet: K-DPP significant dietary quality improvement (3-year follow-up). Salt reduction: ~2–3 mmHg SBP equivalent (India DASH-equivalent studies).</w:t>
      </w:r>
    </w:p>
    <w:p>
      <w:pPr>
        <w:pStyle w:val="ListParagraph"/>
        <w:numPr>
          <w:ilvl w:val="0"/>
          <w:numId w:val="2"/>
        </w:numPr>
        <w:spacing w:before="40" w:after="60"/>
      </w:pPr>
      <w:r>
        <w:rPr>
          <w:rFonts w:ascii="Arial" w:cs="Arial" w:eastAsia="Arial" w:hAnsi="Arial"/>
          <w:color w:val="000000"/>
          <w:sz w:val="22"/>
          <w:szCs w:val="22"/>
        </w:rPr>
        <w:t xml:space="preserve">Physical activity: K-DPP significant steps/day improvement. Group exercise −7.2 mmHg (dedicated sessions only, Avery 2025).</w:t>
      </w:r>
    </w:p>
    <w:p>
      <w:pPr>
        <w:pStyle w:val="Heading3"/>
        <w:spacing w:before="180" w:after="80"/>
      </w:pPr>
      <w:r>
        <w:rPr>
          <w:rFonts w:ascii="Arial" w:cs="Arial" w:eastAsia="Arial" w:hAnsi="Arial"/>
          <w:b/>
          <w:bCs/>
          <w:color w:val="1A5C7A"/>
          <w:sz w:val="24"/>
          <w:szCs w:val="24"/>
        </w:rPr>
        <w:t xml:space="preserve">4c.4 Psychological Distress and Stigma</w:t>
      </w:r>
    </w:p>
    <w:p>
      <w:pPr>
        <w:pStyle w:val="ListParagraph"/>
        <w:numPr>
          <w:ilvl w:val="0"/>
          <w:numId w:val="2"/>
        </w:numPr>
        <w:spacing w:before="40" w:after="60"/>
      </w:pPr>
      <w:r>
        <w:rPr>
          <w:rFonts w:ascii="Arial" w:cs="Arial" w:eastAsia="Arial" w:hAnsi="Arial"/>
          <w:color w:val="000000"/>
          <w:sz w:val="22"/>
          <w:szCs w:val="22"/>
        </w:rPr>
        <w:t xml:space="preserve">Fisher 2017: Stress reduction mediated 58.8% of PSG effects on HbA1c.</w:t>
      </w:r>
    </w:p>
    <w:p>
      <w:pPr>
        <w:pStyle w:val="ListParagraph"/>
        <w:numPr>
          <w:ilvl w:val="0"/>
          <w:numId w:val="2"/>
        </w:numPr>
        <w:spacing w:before="40" w:after="60"/>
      </w:pPr>
      <w:r>
        <w:rPr>
          <w:rFonts w:ascii="Arial" w:cs="Arial" w:eastAsia="Arial" w:hAnsi="Arial"/>
          <w:color w:val="000000"/>
          <w:sz w:val="22"/>
          <w:szCs w:val="22"/>
        </w:rPr>
        <w:t xml:space="preserve">K-DPP: Significant HRQoL improvement at 3 years.</w:t>
      </w:r>
    </w:p>
    <w:p>
      <w:pPr>
        <w:pStyle w:val="ListParagraph"/>
        <w:numPr>
          <w:ilvl w:val="0"/>
          <w:numId w:val="2"/>
        </w:numPr>
        <w:spacing w:before="40" w:after="60"/>
      </w:pPr>
      <w:r>
        <w:rPr>
          <w:rFonts w:ascii="Arial" w:cs="Arial" w:eastAsia="Arial" w:hAnsi="Arial"/>
          <w:color w:val="000000"/>
          <w:sz w:val="22"/>
          <w:szCs w:val="22"/>
        </w:rPr>
        <w:t xml:space="preserve">Stigma: Reported qualitatively in STEPS-INDIA scoping review and Kerala SHG-HTN process evaluation. Not routinely quantified.</w:t>
      </w:r>
    </w:p>
    <w:p>
      <w:pPr>
        <w:pStyle w:val="Heading3"/>
        <w:spacing w:before="180" w:after="80"/>
      </w:pPr>
      <w:r>
        <w:rPr>
          <w:rFonts w:ascii="Arial" w:cs="Arial" w:eastAsia="Arial" w:hAnsi="Arial"/>
          <w:b/>
          <w:bCs/>
          <w:color w:val="1A5C7A"/>
          <w:sz w:val="24"/>
          <w:szCs w:val="24"/>
        </w:rPr>
        <w:t xml:space="preserve">4c.5 Care Linkage and Retention</w:t>
      </w:r>
    </w:p>
    <w:p>
      <w:pPr>
        <w:pStyle w:val="ListParagraph"/>
        <w:numPr>
          <w:ilvl w:val="0"/>
          <w:numId w:val="2"/>
        </w:numPr>
        <w:spacing w:before="40" w:after="60"/>
      </w:pPr>
      <w:r>
        <w:rPr>
          <w:rFonts w:ascii="Arial" w:cs="Arial" w:eastAsia="Arial" w:hAnsi="Arial"/>
          <w:color w:val="000000"/>
          <w:sz w:val="22"/>
          <w:szCs w:val="22"/>
        </w:rPr>
        <w:t xml:space="preserve">IHCI/Chhattisgarh ABHA: 37%→68% 12-month retention with CHW + digital linkage (not PSG alone; upper bound).</w:t>
      </w:r>
    </w:p>
    <w:p>
      <w:pPr>
        <w:pStyle w:val="ListParagraph"/>
        <w:numPr>
          <w:ilvl w:val="0"/>
          <w:numId w:val="2"/>
        </w:numPr>
        <w:spacing w:before="40" w:after="60"/>
      </w:pPr>
      <w:r>
        <w:rPr>
          <w:rFonts w:ascii="Arial" w:cs="Arial" w:eastAsia="Arial" w:hAnsi="Arial"/>
          <w:color w:val="000000"/>
          <w:sz w:val="22"/>
          <w:szCs w:val="22"/>
        </w:rPr>
        <w:t xml:space="preserve">CLD parameter: ~25–35% relative increase in linkage assigned to PSG participation.</w:t>
      </w:r>
    </w:p>
    <w:p>
      <w:pPr>
        <w:spacing w:before="0" w:after="60"/>
      </w:pPr>
    </w:p>
    <w:p>
      <w:pPr>
        <w:spacing w:before="0" w:after="60"/>
      </w:pPr>
    </w:p>
    <w:p>
      <w:pPr>
        <w:pStyle w:val="Heading2"/>
        <w:spacing w:before="240" w:after="120"/>
      </w:pPr>
      <w:r>
        <w:rPr>
          <w:rFonts w:ascii="Arial" w:cs="Arial" w:eastAsia="Arial" w:hAnsi="Arial"/>
          <w:b/>
          <w:bCs/>
          <w:color w:val="1F4E79"/>
          <w:sz w:val="28"/>
          <w:szCs w:val="28"/>
        </w:rPr>
        <w:t xml:space="preserve">4d. Limitations of the PSG Evidence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4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Specific manifestation</w:t>
            </w:r>
          </w:p>
        </w:tc>
        <w:tc>
          <w:tcPr>
            <w:tcW w:type="dxa" w:w="20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Implication for CLD</w:t>
            </w:r>
          </w:p>
        </w:tc>
        <w:tc>
          <w:tcPr>
            <w:tcW w:type="dxa" w:w="316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Mitigation adopted</w:t>
            </w:r>
          </w:p>
        </w:tc>
      </w:tr>
      <w:tr>
        <w:tc>
          <w:tcPr>
            <w:tcW w:type="dxa" w:w="18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Sparse HTN peer trials</w:t>
            </w:r>
          </w:p>
        </w:tc>
        <w:tc>
          <w:tcPr>
            <w:tcW w:type="dxa" w:w="24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Only 3 HTN trials in Jeyaraman 2018; no subsequent peer-specific HTN meta-analysis</w:t>
            </w:r>
          </w:p>
        </w:tc>
        <w:tc>
          <w:tcPr>
            <w:tcW w:type="dxa" w:w="20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HTN-specific PSG effect highly uncertain (CI −14.4 to −0.7 mmHg)</w:t>
            </w:r>
          </w:p>
        </w:tc>
        <w:tc>
          <w:tcPr>
            <w:tcW w:type="dxa" w:w="31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Use −4.8 mmHg (Avery 2025) as primary; −7.52 as upper bound; ±50% sensitivity</w:t>
            </w:r>
          </w:p>
        </w:tc>
      </w:tr>
      <w:tr>
        <w:tc>
          <w:tcPr>
            <w:tcW w:type="dxa" w:w="18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Facilitator conflation</w:t>
            </w:r>
          </w:p>
        </w:tc>
        <w:tc>
          <w:tcPr>
            <w:tcW w:type="dxa" w:w="24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Many 'peer support' trials use CHWs/lay workers, not co-patient peers</w:t>
            </w:r>
          </w:p>
        </w:tc>
        <w:tc>
          <w:tcPr>
            <w:tcW w:type="dxa" w:w="20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Effect estimates may not represent pure PSG</w:t>
            </w:r>
          </w:p>
        </w:tc>
        <w:tc>
          <w:tcPr>
            <w:tcW w:type="dxa" w:w="316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Distinguish PSG node from CHW node; use facilitator-stratified estimates (MoPoTsyo, Kerala SHG)</w:t>
            </w:r>
          </w:p>
        </w:tc>
      </w:tr>
      <w:tr>
        <w:tc>
          <w:tcPr>
            <w:tcW w:type="dxa" w:w="18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Publication bias</w:t>
            </w:r>
          </w:p>
        </w:tc>
        <w:tc>
          <w:tcPr>
            <w:tcW w:type="dxa" w:w="24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Egger's positive in Jeyaraman 2018; true effects may be 20–40% smaller</w:t>
            </w:r>
          </w:p>
        </w:tc>
        <w:tc>
          <w:tcPr>
            <w:tcW w:type="dxa" w:w="20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All PSG estimates may be overestimates</w:t>
            </w:r>
          </w:p>
        </w:tc>
        <w:tc>
          <w:tcPr>
            <w:tcW w:type="dxa" w:w="31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20% downward adjustment for base-case; unadjusted as upper bound</w:t>
            </w:r>
          </w:p>
        </w:tc>
      </w:tr>
      <w:tr>
        <w:tc>
          <w:tcPr>
            <w:tcW w:type="dxa" w:w="18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India-specific gaps</w:t>
            </w:r>
          </w:p>
        </w:tc>
        <w:tc>
          <w:tcPr>
            <w:tcW w:type="dxa" w:w="24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Most RCT evidence from USA, Africa, SE Asia; India RCTs small or non-randomised</w:t>
            </w:r>
          </w:p>
        </w:tc>
        <w:tc>
          <w:tcPr>
            <w:tcW w:type="dxa" w:w="20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Generalisability uncertain</w:t>
            </w:r>
          </w:p>
        </w:tc>
        <w:tc>
          <w:tcPr>
            <w:tcW w:type="dxa" w:w="316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Prioritise India-specific data (K-DPP, Kerala SHG, ACE-ME, IHCI); global as secondary</w:t>
            </w:r>
          </w:p>
        </w:tc>
      </w:tr>
      <w:tr>
        <w:tc>
          <w:tcPr>
            <w:tcW w:type="dxa" w:w="18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Short follow-up</w:t>
            </w:r>
          </w:p>
        </w:tc>
        <w:tc>
          <w:tcPr>
            <w:tcW w:type="dxa" w:w="24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Most trials 12–24 months; long-term maintenance unknown</w:t>
            </w:r>
          </w:p>
        </w:tc>
        <w:tc>
          <w:tcPr>
            <w:tcW w:type="dxa" w:w="20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Reinforcing loops may dominate at longer horizons</w:t>
            </w:r>
          </w:p>
        </w:tc>
        <w:tc>
          <w:tcPr>
            <w:tcW w:type="dxa" w:w="31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Note time-dependency; flag loop dominance may shift beyond 24 months</w:t>
            </w:r>
          </w:p>
        </w:tc>
      </w:tr>
    </w:tbl>
    <w:p>
      <w:pPr>
        <w:spacing w:before="0" w:after="60"/>
      </w:pPr>
    </w:p>
    <w:p>
      <w:pPr>
        <w:spacing w:before="0" w:after="60"/>
      </w:pPr>
    </w:p>
    <w:p>
      <w:pPr>
        <w:pStyle w:val="Heading2"/>
        <w:spacing w:before="240" w:after="120"/>
      </w:pPr>
      <w:r>
        <w:rPr>
          <w:rFonts w:ascii="Arial" w:cs="Arial" w:eastAsia="Arial" w:hAnsi="Arial"/>
          <w:b/>
          <w:bCs/>
          <w:color w:val="1F4E79"/>
          <w:sz w:val="28"/>
          <w:szCs w:val="28"/>
        </w:rPr>
        <w:t xml:space="preserve">4e. Evidence for the Four Additional eCES Interventions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thick" w:color="1F4E79" w:sz="12"/>
              <w:bottom w:val="single" w:color="1F4E79" w:sz="4"/>
              <w:right w:val="single" w:color="1F4E79" w:sz="4"/>
            </w:tcBorders>
            <w:shd w:fill="FFF8E1" w:val="clear"/>
            <w:tcMar>
              <w:top w:type="dxa" w:w="120"/>
              <w:left w:type="dxa" w:w="200"/>
              <w:bottom w:type="dxa" w:w="120"/>
              <w:right w:type="dxa" w:w="200"/>
            </w:tcMar>
          </w:tcPr>
          <w:p>
            <w:pPr>
              <w:spacing w:before="60" w:after="80"/>
            </w:pPr>
            <w:r>
              <w:rPr>
                <w:rFonts w:ascii="Arial" w:cs="Arial" w:eastAsia="Arial" w:hAnsi="Arial"/>
                <w:b/>
                <w:bCs/>
                <w:color w:val="6B3A00"/>
                <w:sz w:val="22"/>
                <w:szCs w:val="22"/>
              </w:rPr>
              <w:t xml:space="preserve">📋 Epistemic framing</w:t>
            </w:r>
          </w:p>
          <w:p>
            <w:pPr>
              <w:spacing w:before="40" w:after="40"/>
            </w:pPr>
            <w:r>
              <w:rPr>
                <w:rFonts w:ascii="Arial" w:cs="Arial" w:eastAsia="Arial" w:hAnsi="Arial"/>
                <w:color w:val="000000"/>
                <w:sz w:val="22"/>
                <w:szCs w:val="22"/>
              </w:rPr>
              <w:t xml:space="preserve">For PSG, parameters synthesise existing trial evidence (statistical uncertainty). For Health Diary, Family NCD Coach, NCD Club, Capacity Building, and Communication Aid, parameters are theoretically-grounded assumptions that have not been tested in an RCT as individual components (structural uncertainty). STEPS-INDIA constitutes the evidence-generation exercise for the bundled eCES package. Individual component attribution requires mediation analysis within the trial or a future factorial design.</w:t>
            </w:r>
          </w:p>
        </w:tc>
      </w:tr>
    </w:tbl>
    <w:p>
      <w:pPr>
        <w:spacing w:before="0" w:after="60"/>
      </w:pPr>
    </w:p>
    <w:p>
      <w:pPr>
        <w:pStyle w:val="Heading3"/>
        <w:spacing w:before="180" w:after="80"/>
      </w:pPr>
      <w:r>
        <w:rPr>
          <w:rFonts w:ascii="Arial" w:cs="Arial" w:eastAsia="Arial" w:hAnsi="Arial"/>
          <w:b/>
          <w:bCs/>
          <w:color w:val="1A5C7A"/>
          <w:sz w:val="24"/>
          <w:szCs w:val="24"/>
        </w:rPr>
        <w:t xml:space="preserve">4e.1 Health Diary (Goal Setting)</w:t>
      </w:r>
    </w:p>
    <w:p>
      <w:pPr>
        <w:spacing w:before="80" w:after="120"/>
      </w:pPr>
      <w:r>
        <w:rPr>
          <w:rFonts w:ascii="Arial" w:cs="Arial" w:eastAsia="Arial" w:hAnsi="Arial"/>
          <w:color w:val="000000"/>
          <w:sz w:val="22"/>
          <w:szCs w:val="22"/>
        </w:rPr>
        <w:t xml:space="preserve">Best evidence analogue: BP self-monitoring trials. Tucker et al. (2017) IPD meta-analysis of 25 RCTs: −3.2 mmHg SBP when self-monitoring combined with co-intervention (95% CI −4.0 to −2.4). Self-monitoring alone (Uhlig meta-analysis): −3.82 mmHg SBP. India-specific: Raj et al. pill count study — structured medication diary intervention produced significant adherence improvement (p=0.007). Ophelia India/Chandigarh (Passi &amp; Kaur 2025): participatory health literacy including structured self-recording → improved BP adherence and control. mHealth tailored advice: SBP −2.92 mmHg vs non-tailored −0.72 mmHg — tailoring effect doubles impact.</w:t>
      </w:r>
    </w:p>
    <w:p>
      <w:pPr>
        <w:spacing w:before="80" w:after="120"/>
      </w:pPr>
      <w:r>
        <w:rPr>
          <w:rFonts w:ascii="Arial" w:cs="Arial" w:eastAsia="Arial" w:hAnsi="Arial"/>
          <w:b/>
          <w:bCs/>
          <w:color w:val="000000"/>
          <w:sz w:val="22"/>
          <w:szCs w:val="22"/>
        </w:rPr>
        <w:t xml:space="preserve">Parameter anchors: </w:t>
      </w:r>
      <w:r>
        <w:rPr>
          <w:rFonts w:ascii="Arial" w:cs="Arial" w:eastAsia="Arial" w:hAnsi="Arial"/>
          <w:color w:val="000000"/>
          <w:sz w:val="22"/>
          <w:szCs w:val="22"/>
        </w:rPr>
        <w:t xml:space="preserve">−1.5 to −2.5 mmHg SBP; −0.15 to −0.25% HbA1c. Applied via Self-Efficacy (+), Disease Knowledge (+), Medication Adherence (+), and BP Self-Monitoring/SMBG (+) pathways. Epistemic status: proxy evidence; no standalone RCT.</w:t>
      </w:r>
    </w:p>
    <w:p>
      <w:pPr>
        <w:spacing w:before="0" w:after="60"/>
      </w:pPr>
    </w:p>
    <w:p>
      <w:pPr>
        <w:pStyle w:val="Heading3"/>
        <w:spacing w:before="180" w:after="80"/>
      </w:pPr>
      <w:r>
        <w:rPr>
          <w:rFonts w:ascii="Arial" w:cs="Arial" w:eastAsia="Arial" w:hAnsi="Arial"/>
          <w:b/>
          <w:bCs/>
          <w:color w:val="1A5C7A"/>
          <w:sz w:val="24"/>
          <w:szCs w:val="24"/>
        </w:rPr>
        <w:t xml:space="preserve">4e.2 Family NCD Coach</w:t>
      </w:r>
    </w:p>
    <w:p>
      <w:pPr>
        <w:spacing w:before="80" w:after="120"/>
      </w:pPr>
      <w:r>
        <w:rPr>
          <w:rFonts w:ascii="Arial" w:cs="Arial" w:eastAsia="Arial" w:hAnsi="Arial"/>
          <w:color w:val="000000"/>
          <w:sz w:val="22"/>
          <w:szCs w:val="22"/>
        </w:rPr>
        <w:t xml:space="preserve">Scheurer systematic review (Diabetes Care): 9/14 family support studies demonstrated positive effects on DM management; mechanism studies show family-modified home environment is the primary driver. Aikens adherence study: family involvement + telemonitoring produced significant adherence improvement. K-DPP (Kerala): significant improvements in dietary behaviour and HRQoL attributed partly to family-level cultural norm change. ASHA home visit literature (India): Garg 2023 Chhattisgarh Mitanin home visits associated with adherence 70.3% vs 55.1%.</w:t>
      </w:r>
    </w:p>
    <w:p>
      <w:pPr>
        <w:spacing w:before="80" w:after="120"/>
      </w:pPr>
      <w:r>
        <w:rPr>
          <w:rFonts w:ascii="Arial" w:cs="Arial" w:eastAsia="Arial" w:hAnsi="Arial"/>
          <w:b/>
          <w:bCs/>
          <w:color w:val="000000"/>
          <w:sz w:val="22"/>
          <w:szCs w:val="22"/>
        </w:rPr>
        <w:t xml:space="preserve">Parameter anchors: </w:t>
      </w:r>
      <w:r>
        <w:rPr>
          <w:rFonts w:ascii="Arial" w:cs="Arial" w:eastAsia="Arial" w:hAnsi="Arial"/>
          <w:color w:val="000000"/>
          <w:sz w:val="22"/>
          <w:szCs w:val="22"/>
        </w:rPr>
        <w:t xml:space="preserve">Adherence OR 1.2–1.4; −1.0 to −2.0 mmHg HTN; −0.5 to −1.0% HbA1c. Applied via Dietary Behaviour (+), Physical Activity (+), Medication Adherence (+), Psychological Stress/Distress (−), Economic Barrier (−). Epistemic status: theoretical with proxy evidence; structural uncertainty.</w:t>
      </w:r>
    </w:p>
    <w:p>
      <w:pPr>
        <w:spacing w:before="0" w:after="60"/>
      </w:pPr>
    </w:p>
    <w:p>
      <w:pPr>
        <w:pStyle w:val="Heading3"/>
        <w:spacing w:before="180" w:after="80"/>
      </w:pPr>
      <w:r>
        <w:rPr>
          <w:rFonts w:ascii="Arial" w:cs="Arial" w:eastAsia="Arial" w:hAnsi="Arial"/>
          <w:b/>
          <w:bCs/>
          <w:color w:val="1A5C7A"/>
          <w:sz w:val="24"/>
          <w:szCs w:val="24"/>
        </w:rPr>
        <w:t xml:space="preserve">4e.3 NCD Club (Sangathan)</w:t>
      </w:r>
    </w:p>
    <w:p>
      <w:pPr>
        <w:spacing w:before="80" w:after="120"/>
      </w:pPr>
      <w:r>
        <w:rPr>
          <w:rFonts w:ascii="Arial" w:cs="Arial" w:eastAsia="Arial" w:hAnsi="Arial"/>
          <w:color w:val="000000"/>
          <w:sz w:val="22"/>
          <w:szCs w:val="22"/>
        </w:rPr>
        <w:t xml:space="preserve">BMC Public Health meta-analysis (18 LMICs): RR BP control 1.48 (95% CI 1.40–1.57) for community-based interventions — this is a bundled estimate including CHW, health education, and community mobilisation components; NCD Club-specific effect cannot be isolated. Qualitative literature on community health committees (MAS, Mahila Samitis) in India: positive process outcomes, limited quantitative effect data. International: community mobilisation models (SHG-linked NCD in Myanmar, BIGPIC Kenya) show structural enabling environment changes.</w:t>
      </w:r>
    </w:p>
    <w:p>
      <w:pPr>
        <w:spacing w:before="80" w:after="120"/>
      </w:pPr>
      <w:r>
        <w:rPr>
          <w:rFonts w:ascii="Arial" w:cs="Arial" w:eastAsia="Arial" w:hAnsi="Arial"/>
          <w:b/>
          <w:bCs/>
          <w:color w:val="000000"/>
          <w:sz w:val="22"/>
          <w:szCs w:val="22"/>
        </w:rPr>
        <w:t xml:space="preserve">Parameter anchors: </w:t>
      </w:r>
      <w:r>
        <w:rPr>
          <w:rFonts w:ascii="Arial" w:cs="Arial" w:eastAsia="Arial" w:hAnsi="Arial"/>
          <w:color w:val="000000"/>
          <w:sz w:val="22"/>
          <w:szCs w:val="22"/>
        </w:rPr>
        <w:t xml:space="preserve">PA uptake +5–15%; dietary adherence +10–20%; linkage RR 1.1–1.2. Applied via Physical Activity (+), Dietary Behaviour (+), Linkage to Care (+), Stigma/Concealment (−). Epistemic status: theoretical; weakest evidence base; slider range 0.25× to 2.0× in app with explicit 'no trial evidence' label.</w:t>
      </w:r>
    </w:p>
    <w:p>
      <w:pPr>
        <w:spacing w:before="0" w:after="60"/>
      </w:pPr>
    </w:p>
    <w:p>
      <w:pPr>
        <w:pStyle w:val="Heading3"/>
        <w:spacing w:before="180" w:after="80"/>
      </w:pPr>
      <w:r>
        <w:rPr>
          <w:rFonts w:ascii="Arial" w:cs="Arial" w:eastAsia="Arial" w:hAnsi="Arial"/>
          <w:b/>
          <w:bCs/>
          <w:color w:val="1A5C7A"/>
          <w:sz w:val="24"/>
          <w:szCs w:val="24"/>
        </w:rPr>
        <w:t xml:space="preserve">4e.4 Capacity Building Programme</w:t>
      </w:r>
    </w:p>
    <w:p>
      <w:pPr>
        <w:spacing w:before="80" w:after="120"/>
      </w:pPr>
      <w:r>
        <w:rPr>
          <w:rFonts w:ascii="Arial" w:cs="Arial" w:eastAsia="Arial" w:hAnsi="Arial"/>
          <w:color w:val="000000"/>
          <w:sz w:val="22"/>
          <w:szCs w:val="22"/>
        </w:rPr>
        <w:t xml:space="preserve">Garg 2023 Chhattisgarh Mitanin CHW programme: NCD screening 80.2% vs 37.9% (CHW-trained vs control); medication adherence 70.3% vs 55.1%. Abdel-All 2018 South India: ASHA structured NCD training produced significant knowledge improvement. Bihar capacity building study: knowledge score 12.9→22.1 but skill quality 'satisfactory' only 54.1% — indicating knowledge-skill gap requiring hands-on mentorship to translate to behaviour change. WHO global CHW evidence synthesis: structured training + ongoing supervision improves NCD outcomes.</w:t>
      </w:r>
    </w:p>
    <w:p>
      <w:pPr>
        <w:spacing w:before="80" w:after="120"/>
      </w:pPr>
      <w:r>
        <w:rPr>
          <w:rFonts w:ascii="Arial" w:cs="Arial" w:eastAsia="Arial" w:hAnsi="Arial"/>
          <w:b/>
          <w:bCs/>
          <w:color w:val="000000"/>
          <w:sz w:val="22"/>
          <w:szCs w:val="22"/>
        </w:rPr>
        <w:t xml:space="preserve">Parameter anchors: </w:t>
      </w:r>
      <w:r>
        <w:rPr>
          <w:rFonts w:ascii="Arial" w:cs="Arial" w:eastAsia="Arial" w:hAnsi="Arial"/>
          <w:color w:val="000000"/>
          <w:sz w:val="22"/>
          <w:szCs w:val="22"/>
        </w:rPr>
        <w:t xml:space="preserve">Delivery fidelity multiplier. Baseline ASHA capacity = 0.5–0.6× modifier on all CE pathway effects. With eCES Capacity Building: approaches 1.0×. Excellent mentorship: 1.1–1.2×. Applied as uniform multiplier across all community engagement pathways. Does not add new CLD nodes.</w:t>
      </w:r>
    </w:p>
    <w:p>
      <w:pPr>
        <w:spacing w:before="0" w:after="60"/>
      </w:pPr>
    </w:p>
    <w:p>
      <w:pPr>
        <w:pStyle w:val="Heading3"/>
        <w:spacing w:before="180" w:after="80"/>
      </w:pPr>
      <w:r>
        <w:rPr>
          <w:rFonts w:ascii="Arial" w:cs="Arial" w:eastAsia="Arial" w:hAnsi="Arial"/>
          <w:b/>
          <w:bCs/>
          <w:color w:val="1A5C7A"/>
          <w:sz w:val="24"/>
          <w:szCs w:val="24"/>
        </w:rPr>
        <w:t xml:space="preserve">4e.5 NCD Communication Aid</w:t>
      </w:r>
    </w:p>
    <w:p>
      <w:pPr>
        <w:spacing w:before="80" w:after="120"/>
      </w:pPr>
      <w:r>
        <w:rPr>
          <w:rFonts w:ascii="Arial" w:cs="Arial" w:eastAsia="Arial" w:hAnsi="Arial"/>
          <w:color w:val="000000"/>
          <w:sz w:val="22"/>
          <w:szCs w:val="22"/>
        </w:rPr>
        <w:t xml:space="preserve">Ophelia/HealthLit methodology (Ophelia India, Passi &amp; Kaur 2025, Chandigarh): participatory health literacy approach using co-designed materials produced significant improvements in dietary behaviour, PA, BP adherence, and BP control. mHealth tailored messaging meta-analysis: SBP −2.92 mmHg (tailored) vs −0.72 mmHg (generic) — culturally tailored communication doubles effect. STEPS-INDIA scoping review: culturally-adapted materials cited as contributing to improved adherence in 12/34 PSG studies. Myth-busting for medication safety and insulin stigma: documented via qualitative literature and formative data from STEPS-INDIA sites.</w:t>
      </w:r>
    </w:p>
    <w:p>
      <w:pPr>
        <w:spacing w:before="80" w:after="120"/>
      </w:pPr>
      <w:r>
        <w:rPr>
          <w:rFonts w:ascii="Arial" w:cs="Arial" w:eastAsia="Arial" w:hAnsi="Arial"/>
          <w:b/>
          <w:bCs/>
          <w:color w:val="000000"/>
          <w:sz w:val="22"/>
          <w:szCs w:val="22"/>
        </w:rPr>
        <w:t xml:space="preserve">Parameter anchors: </w:t>
      </w:r>
      <w:r>
        <w:rPr>
          <w:rFonts w:ascii="Arial" w:cs="Arial" w:eastAsia="Arial" w:hAnsi="Arial"/>
          <w:color w:val="000000"/>
          <w:sz w:val="22"/>
          <w:szCs w:val="22"/>
        </w:rPr>
        <w:t xml:space="preserve">(a) Myth correction → adherence: OR 1.1–1.2 for ~15–25% of non-adherent patients with belief-based non-adherence. (b) Health literacy multiplier: 1.1–1.3× enhancement on Disease Knowledge and Self-Efficacy pathways. (c) Stigma reduction at community level: indirect effect, no quantitative estimate. Applied as cross-cutting multiplier + direct adherence pathway.</w:t>
      </w:r>
    </w:p>
    <w:p>
      <w:pPr>
        <w:spacing w:before="0" w:after="60"/>
      </w:pPr>
    </w:p>
    <w:p>
      <w:pPr>
        <w:spacing w:before="0" w:after="60"/>
      </w:pPr>
    </w:p>
    <w:p>
      <w:pPr>
        <w:spacing w:before="80" w:after="120"/>
      </w:pPr>
      <w:r>
        <w:rPr>
          <w:rFonts w:ascii="Arial" w:cs="Arial" w:eastAsia="Arial" w:hAnsi="Arial"/>
          <w:i/>
          <w:iCs/>
          <w:color w:val="888888"/>
          <w:sz w:val="22"/>
          <w:szCs w:val="22"/>
        </w:rPr>
        <w:t xml:space="preserve">End of Module 2 (Section 4) — STEPS-INDIA CLD Technical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7375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A5C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2026-03-04T15:43:17.496Z</dcterms:created>
  <dcterms:modified xsi:type="dcterms:W3CDTF">2026-03-04T15:43:17.496Z</dcterms:modified>
</cp:coreProperties>
</file>

<file path=docProps/custom.xml><?xml version="1.0" encoding="utf-8"?>
<Properties xmlns="http://schemas.openxmlformats.org/officeDocument/2006/custom-properties" xmlns:vt="http://schemas.openxmlformats.org/officeDocument/2006/docPropsVTypes"/>
</file>