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44"/>
          <w:szCs w:val="4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u w:val="single"/>
          <w:vertAlign w:val="baseline"/>
          <w:rtl w:val="0"/>
        </w:rPr>
        <w:t xml:space="preserve">Práctica 1 EMPRESA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40"/>
          <w:szCs w:val="4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Agrupación de los conceptos de balance de situación en masas patrimoniales y 2. Cálculo de porcentajes</w:t>
      </w:r>
    </w:p>
    <w:p w:rsidR="00000000" w:rsidDel="00000000" w:rsidP="00000000" w:rsidRDefault="00000000" w:rsidRPr="00000000" w14:paraId="00000005">
      <w:pPr>
        <w:ind w:left="72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Balance de situación (en miles de Euros)</w:t>
      </w:r>
    </w:p>
    <w:tbl>
      <w:tblPr>
        <w:tblStyle w:val="Table1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7"/>
        <w:gridCol w:w="5390"/>
        <w:gridCol w:w="1195"/>
        <w:gridCol w:w="715"/>
        <w:gridCol w:w="333"/>
        <w:tblGridChange w:id="0">
          <w:tblGrid>
            <w:gridCol w:w="1087"/>
            <w:gridCol w:w="5390"/>
            <w:gridCol w:w="1195"/>
            <w:gridCol w:w="715"/>
            <w:gridCol w:w="333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AÑO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Activo No Corriente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6.763.262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69,61%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Inmovilizado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6.694.467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68,90%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Activo por impuesto diferido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68.795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0,71%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Activo Corriente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2.953.092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30,39%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Existencias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653.879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6,73%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Deudores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113.326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1,17%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Inversiones financieras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199.786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2,06%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Efectivo y otros activos líquidos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1.986.101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20,44%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TOTAL ACTIVO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9.716.354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Patrimonio Neto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6.076.513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62,54%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Capital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15.921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0,16%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Reservas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5.437.855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55,97%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Resultado del ejercicio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622.737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6,41%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Pasivo No Corriente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49.709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0,51%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Provisiones y deudas a largo plazo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10.157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0,10%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Pasivos por impuesto diferido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39.552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0,41%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Pasivo Corriente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3.590.132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36,94%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Proveedores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2.498.025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25,71%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Creditores y deudas con administraciones públicas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810.549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8,34%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281.558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2,90%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TOTAL PATRIMONIO NETO Y PASIVO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9.716.354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Balance de situación (en miles de Euros)</w:t>
      </w:r>
    </w:p>
    <w:tbl>
      <w:tblPr>
        <w:tblStyle w:val="Table2"/>
        <w:tblW w:w="872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4"/>
        <w:gridCol w:w="5115"/>
        <w:gridCol w:w="1418"/>
        <w:gridCol w:w="782"/>
        <w:gridCol w:w="381"/>
        <w:tblGridChange w:id="0">
          <w:tblGrid>
            <w:gridCol w:w="1024"/>
            <w:gridCol w:w="5115"/>
            <w:gridCol w:w="1418"/>
            <w:gridCol w:w="782"/>
            <w:gridCol w:w="381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AÑO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Activo No Corriente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7.109.736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67,48%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Inmovilizado intangible y material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6.974.858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66,20%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Inversiones financieras y otros activos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134.878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1,28%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Activo Corriente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3.426.968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32,52%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Existencias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686.559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6,52%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Deudores e Inversiones financieras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194.332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1,84%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Efectivo y otros activos líquidos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2.546.077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24,16%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TOTAL ACTIVO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10.536.704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Patrimonio Neto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6.674.088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63,34%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Capital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15.921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0,15%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Reservas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5.931.011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56,29%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Resultado del ejercicio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727.156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6,90%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Pasivo No Corriente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43.269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0,41%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Provisiones y otros pasivos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43.269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0,41%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Pasivo Corriente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3.819.347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36,25%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Proveedores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2.712.685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25,75%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Creditores y deudas con administraciones públicas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805.105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7,64%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301.557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2,86%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TOTAL PATRIMONIO NETO Y PASIVO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10.536.704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>
          <w:rFonts w:ascii="Arial" w:cs="Arial" w:eastAsia="Arial" w:hAnsi="Arial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Representación gráfica del activo y del patrimonio neto más pasivo</w:t>
      </w:r>
    </w:p>
    <w:tbl>
      <w:tblPr>
        <w:tblStyle w:val="Table3"/>
        <w:tblW w:w="797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87"/>
        <w:gridCol w:w="3987"/>
        <w:tblGridChange w:id="0">
          <w:tblGrid>
            <w:gridCol w:w="3987"/>
            <w:gridCol w:w="3987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Año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8eaadb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PATRIMONIO NETO MÁS PASIVO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0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ACTIVO NO CORRIENTE</w:t>
            </w:r>
          </w:p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69,61%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PATRIMONIO NETO</w:t>
            </w:r>
          </w:p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62,54%</w:t>
            </w:r>
          </w:p>
        </w:tc>
      </w:tr>
      <w:tr>
        <w:trPr>
          <w:cantSplit w:val="1"/>
          <w:trHeight w:val="41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PASIVO NO CORRIENTE 0,51%</w:t>
            </w:r>
          </w:p>
        </w:tc>
      </w:tr>
      <w:tr>
        <w:trPr>
          <w:cantSplit w:val="1"/>
          <w:trHeight w:val="63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PASIVO CORRIENTE</w:t>
            </w:r>
          </w:p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36,94%</w:t>
            </w:r>
          </w:p>
        </w:tc>
      </w:tr>
      <w:tr>
        <w:trPr>
          <w:cantSplit w:val="1"/>
          <w:trHeight w:val="10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EXISTÉNCIAS 6,73%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REALIZABLE 3,23%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DISPONIBLE</w:t>
            </w:r>
          </w:p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20,44%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7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87"/>
        <w:gridCol w:w="3987"/>
        <w:tblGridChange w:id="0">
          <w:tblGrid>
            <w:gridCol w:w="3987"/>
            <w:gridCol w:w="3987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Año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8eaadb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PATRIMONIO NETO MÁS PASIVO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0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ACTIVO NO CORRIENTE</w:t>
            </w:r>
          </w:p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67,48%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PATRIMONIO NETO</w:t>
            </w:r>
          </w:p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63,34%</w:t>
            </w:r>
          </w:p>
        </w:tc>
      </w:tr>
      <w:tr>
        <w:trPr>
          <w:cantSplit w:val="1"/>
          <w:trHeight w:val="41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PASIVO NO CORRIENTE 0,41%</w:t>
            </w:r>
          </w:p>
        </w:tc>
      </w:tr>
      <w:tr>
        <w:trPr>
          <w:cantSplit w:val="1"/>
          <w:trHeight w:val="50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PASIVO CORRIENTE</w:t>
            </w:r>
          </w:p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36,25%</w:t>
            </w:r>
          </w:p>
        </w:tc>
      </w:tr>
      <w:tr>
        <w:trPr>
          <w:cantSplit w:val="1"/>
          <w:trHeight w:val="7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EXISTÉNCIAS 6,52%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REALIZABLE 1,84%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DISPONIBLE</w:t>
            </w:r>
          </w:p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24,16%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Análisis de ratios:</w:t>
      </w:r>
    </w:p>
    <w:tbl>
      <w:tblPr>
        <w:tblStyle w:val="Table5"/>
        <w:tblW w:w="11341.0" w:type="dxa"/>
        <w:jc w:val="left"/>
        <w:tblInd w:w="-1231.0" w:type="dxa"/>
        <w:tblLayout w:type="fixed"/>
        <w:tblLook w:val="0000"/>
      </w:tblPr>
      <w:tblGrid>
        <w:gridCol w:w="1985"/>
        <w:gridCol w:w="5103"/>
        <w:gridCol w:w="1134"/>
        <w:gridCol w:w="1276"/>
        <w:gridCol w:w="1843"/>
        <w:tblGridChange w:id="0">
          <w:tblGrid>
            <w:gridCol w:w="1985"/>
            <w:gridCol w:w="5103"/>
            <w:gridCol w:w="1134"/>
            <w:gridCol w:w="1276"/>
            <w:gridCol w:w="184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RATIOS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FUN.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4285f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DIFERENCIA (+, -)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ENDEUDAMIENTO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PASIVO / PN + PASIVO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0,37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0,37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-0,01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C. DEUDA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PASIVO CORRIENTE / PASIVO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0,99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0,99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LIQUIDEZ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ACTIVO CORRIENTE / PASIVO CORRIENTE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0,82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0,90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0,07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red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red"/>
                <w:vertAlign w:val="baseline"/>
                <w:rtl w:val="0"/>
              </w:rPr>
              <w:t xml:space="preserve">COBRAMIENTO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CLIENTES / VENTAS BRUTAS * 365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234a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234a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-2,83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9daf8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PAGO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PROVEEDORES / COMPRAS BRUTAS * 365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2,03</w:t>
            </w:r>
          </w:p>
        </w:tc>
      </w:tr>
    </w:tbl>
    <w:p w:rsidR="00000000" w:rsidDel="00000000" w:rsidP="00000000" w:rsidRDefault="00000000" w:rsidRPr="00000000" w14:paraId="00000142">
      <w:pPr>
        <w:ind w:left="1440" w:firstLine="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Cálculo del fondo de maniobra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144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Fondo de maniobra = Activo Corriente – Pasivo Corriente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144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Año 2019:</w:t>
      </w:r>
    </w:p>
    <w:p w:rsidR="00000000" w:rsidDel="00000000" w:rsidP="00000000" w:rsidRDefault="00000000" w:rsidRPr="00000000" w14:paraId="00000146">
      <w:pPr>
        <w:numPr>
          <w:ilvl w:val="1"/>
          <w:numId w:val="1"/>
        </w:numPr>
        <w:ind w:left="2160" w:hanging="36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2.953.92 - 3.590.132 = - 637.040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144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Año 2020: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ind w:left="2160" w:hanging="36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3.426.968 - 3.819.347 = - 392.379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Diagnóstico de la empresa de la situación patrimonial y financiera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144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Año 2019:</w:t>
      </w:r>
    </w:p>
    <w:p w:rsidR="00000000" w:rsidDel="00000000" w:rsidP="00000000" w:rsidRDefault="00000000" w:rsidRPr="00000000" w14:paraId="0000014C">
      <w:pPr>
        <w:numPr>
          <w:ilvl w:val="0"/>
          <w:numId w:val="5"/>
        </w:numPr>
        <w:ind w:left="2136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La empresa está muy capitalizada: las deudas (Pasivo Corriente más Pasivo No Corriente) representan el 37,65% mientras que el Patrimonio Neto representa el 62,54%. Si la empresa tuviera más de un 60% en deudas estaría descapitalizada.</w:t>
      </w:r>
    </w:p>
    <w:p w:rsidR="00000000" w:rsidDel="00000000" w:rsidP="00000000" w:rsidRDefault="00000000" w:rsidRPr="00000000" w14:paraId="0000014D">
      <w:pPr>
        <w:numPr>
          <w:ilvl w:val="0"/>
          <w:numId w:val="5"/>
        </w:numPr>
        <w:ind w:left="2136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Liquidez: El Activo Corriente representa el 30,39% mientras que el Pasivo Corriente representa el 36,94%. Por lo tanto, la empresa no puede hacer frente a sus deudas a corto plazo con su activo a corto plazo. </w:t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ind w:left="2136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Fondo de Maniobra: 2.953.92 - 3.590.132 = - 637.040</w:t>
      </w:r>
    </w:p>
    <w:p w:rsidR="00000000" w:rsidDel="00000000" w:rsidP="00000000" w:rsidRDefault="00000000" w:rsidRPr="00000000" w14:paraId="0000014F">
      <w:pPr>
        <w:ind w:left="2832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El fondo de maniobra es negativo. Por lo tanto, la empresa sufre un desequilibrio financiero.</w:t>
      </w:r>
    </w:p>
    <w:p w:rsidR="00000000" w:rsidDel="00000000" w:rsidP="00000000" w:rsidRDefault="00000000" w:rsidRPr="00000000" w14:paraId="00000150">
      <w:pPr>
        <w:numPr>
          <w:ilvl w:val="0"/>
          <w:numId w:val="5"/>
        </w:numPr>
        <w:ind w:left="2136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¿Puede asumir deudas adicionales?</w:t>
      </w:r>
    </w:p>
    <w:p w:rsidR="00000000" w:rsidDel="00000000" w:rsidP="00000000" w:rsidRDefault="00000000" w:rsidRPr="00000000" w14:paraId="00000151">
      <w:pPr>
        <w:numPr>
          <w:ilvl w:val="1"/>
          <w:numId w:val="5"/>
        </w:numPr>
        <w:ind w:left="2856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La proporción entre pasivo (corriente y no corriente) (37,65%) y patrimonio neto (62,54%) no es correcta.</w:t>
      </w:r>
    </w:p>
    <w:p w:rsidR="00000000" w:rsidDel="00000000" w:rsidP="00000000" w:rsidRDefault="00000000" w:rsidRPr="00000000" w14:paraId="00000152">
      <w:pPr>
        <w:numPr>
          <w:ilvl w:val="1"/>
          <w:numId w:val="5"/>
        </w:numPr>
        <w:ind w:left="2856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La empresa no tiene exceso de deudas.</w:t>
      </w:r>
    </w:p>
    <w:p w:rsidR="00000000" w:rsidDel="00000000" w:rsidP="00000000" w:rsidRDefault="00000000" w:rsidRPr="00000000" w14:paraId="00000153">
      <w:pPr>
        <w:numPr>
          <w:ilvl w:val="1"/>
          <w:numId w:val="5"/>
        </w:numPr>
        <w:ind w:left="2856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El exigible no es superior al 60% del patrimonio</w:t>
      </w:r>
    </w:p>
    <w:p w:rsidR="00000000" w:rsidDel="00000000" w:rsidP="00000000" w:rsidRDefault="00000000" w:rsidRPr="00000000" w14:paraId="00000154">
      <w:pPr>
        <w:numPr>
          <w:ilvl w:val="1"/>
          <w:numId w:val="5"/>
        </w:numPr>
        <w:ind w:left="2856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Además, el ratio de calidad de la deuda es del 0,99. Lo que quiere decir que el peso de las deudas a corto plazo es más grande que las deudas a largo plazo. Más de la mitad de las deudas son a corto plazo.</w:t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ind w:left="2136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Gestión de cobros y pagos.</w:t>
      </w:r>
    </w:p>
    <w:p w:rsidR="00000000" w:rsidDel="00000000" w:rsidP="00000000" w:rsidRDefault="00000000" w:rsidRPr="00000000" w14:paraId="00000156">
      <w:pPr>
        <w:numPr>
          <w:ilvl w:val="1"/>
          <w:numId w:val="5"/>
        </w:numPr>
        <w:ind w:left="2856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Cobra a sus clientes en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vertAlign w:val="baseline"/>
          <w:rtl w:val="0"/>
        </w:rPr>
        <w:t xml:space="preserve">271 o 31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días y tiene un plazo de pago a sus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red"/>
          <w:rtl w:val="0"/>
        </w:rPr>
        <w:t xml:space="preserve">acreedores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red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de 53.</w:t>
      </w:r>
    </w:p>
    <w:p w:rsidR="00000000" w:rsidDel="00000000" w:rsidP="00000000" w:rsidRDefault="00000000" w:rsidRPr="00000000" w14:paraId="00000157">
      <w:pPr>
        <w:numPr>
          <w:ilvl w:val="1"/>
          <w:numId w:val="5"/>
        </w:numPr>
        <w:ind w:left="2856" w:hanging="360"/>
        <w:rPr>
          <w:rFonts w:ascii="Arial" w:cs="Arial" w:eastAsia="Arial" w:hAnsi="Arial"/>
          <w:sz w:val="24"/>
          <w:szCs w:val="24"/>
          <w:shd w:fill="66ff66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66ff66" w:val="clear"/>
          <w:rtl w:val="0"/>
        </w:rPr>
        <w:t xml:space="preserve">Cobra a sus clientes en 5 días y tiene un plazo de pago a sus acreedores de 53.</w:t>
      </w:r>
    </w:p>
    <w:p w:rsidR="00000000" w:rsidDel="00000000" w:rsidP="00000000" w:rsidRDefault="00000000" w:rsidRPr="00000000" w14:paraId="00000158">
      <w:pPr>
        <w:numPr>
          <w:ilvl w:val="0"/>
          <w:numId w:val="5"/>
        </w:numPr>
        <w:ind w:left="2136" w:hanging="360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¿Es correcta la gestión de activos?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5"/>
        </w:numPr>
        <w:ind w:left="2856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El Activo Corriente (Existencias, Realizable, Disponible) representa el 30,39% del total del activo. Por lo tanto, no hace falta reducir existencias.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144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Año 2020:</w:t>
      </w:r>
    </w:p>
    <w:p w:rsidR="00000000" w:rsidDel="00000000" w:rsidP="00000000" w:rsidRDefault="00000000" w:rsidRPr="00000000" w14:paraId="0000015B">
      <w:pPr>
        <w:numPr>
          <w:ilvl w:val="1"/>
          <w:numId w:val="3"/>
        </w:numPr>
        <w:ind w:left="21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La empresa está muy capitalizada: las deudas (Pasivo Corriente más Pasivo No Corriente) representan el 36,66% mientras que el Patrimonio Neto representa el 63,34%. Si la empresa tuviera más de un 60% en deudas estaría descapitalizada.</w:t>
      </w:r>
    </w:p>
    <w:p w:rsidR="00000000" w:rsidDel="00000000" w:rsidP="00000000" w:rsidRDefault="00000000" w:rsidRPr="00000000" w14:paraId="0000015C">
      <w:pPr>
        <w:numPr>
          <w:ilvl w:val="1"/>
          <w:numId w:val="3"/>
        </w:numPr>
        <w:ind w:left="21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Liquidez: El Activo Corriente representa el 32.52% mientras que el Pasivo Corriente representa el 36.25%. Por lo tanto, la empresa no puede hacer frente a sus deudas a corto plazo con su activo a corto plazo. </w:t>
      </w:r>
    </w:p>
    <w:p w:rsidR="00000000" w:rsidDel="00000000" w:rsidP="00000000" w:rsidRDefault="00000000" w:rsidRPr="00000000" w14:paraId="0000015D">
      <w:pPr>
        <w:numPr>
          <w:ilvl w:val="1"/>
          <w:numId w:val="3"/>
        </w:numPr>
        <w:ind w:left="21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Fondo de Maniobra: 3.426.968 - 3.819.347 = - 392.379</w:t>
      </w:r>
    </w:p>
    <w:p w:rsidR="00000000" w:rsidDel="00000000" w:rsidP="00000000" w:rsidRDefault="00000000" w:rsidRPr="00000000" w14:paraId="0000015E">
      <w:pPr>
        <w:numPr>
          <w:ilvl w:val="2"/>
          <w:numId w:val="3"/>
        </w:numPr>
        <w:ind w:left="288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El fondo de maniobra es negativo. Por lo tanto, la empresa sufre un desequilibrio financiero.</w:t>
      </w:r>
    </w:p>
    <w:p w:rsidR="00000000" w:rsidDel="00000000" w:rsidP="00000000" w:rsidRDefault="00000000" w:rsidRPr="00000000" w14:paraId="0000015F">
      <w:pPr>
        <w:numPr>
          <w:ilvl w:val="1"/>
          <w:numId w:val="3"/>
        </w:numPr>
        <w:ind w:left="21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¿Puede asumir deudas adicionales?</w:t>
      </w:r>
    </w:p>
    <w:p w:rsidR="00000000" w:rsidDel="00000000" w:rsidP="00000000" w:rsidRDefault="00000000" w:rsidRPr="00000000" w14:paraId="00000160">
      <w:pPr>
        <w:numPr>
          <w:ilvl w:val="2"/>
          <w:numId w:val="3"/>
        </w:numPr>
        <w:ind w:left="288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La proporción entre pasivo (corriente y no corriente) (36,66%) y patrimonio neto (63,34%) no es correcta.</w:t>
      </w:r>
    </w:p>
    <w:p w:rsidR="00000000" w:rsidDel="00000000" w:rsidP="00000000" w:rsidRDefault="00000000" w:rsidRPr="00000000" w14:paraId="00000161">
      <w:pPr>
        <w:numPr>
          <w:ilvl w:val="2"/>
          <w:numId w:val="3"/>
        </w:numPr>
        <w:ind w:left="288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La empresa no tiene exceso de deudas.</w:t>
      </w:r>
    </w:p>
    <w:p w:rsidR="00000000" w:rsidDel="00000000" w:rsidP="00000000" w:rsidRDefault="00000000" w:rsidRPr="00000000" w14:paraId="00000162">
      <w:pPr>
        <w:numPr>
          <w:ilvl w:val="2"/>
          <w:numId w:val="3"/>
        </w:numPr>
        <w:ind w:left="288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Pero el exigible es superior al 60% del patrimonio.</w:t>
      </w:r>
    </w:p>
    <w:p w:rsidR="00000000" w:rsidDel="00000000" w:rsidP="00000000" w:rsidRDefault="00000000" w:rsidRPr="00000000" w14:paraId="00000163">
      <w:pPr>
        <w:numPr>
          <w:ilvl w:val="2"/>
          <w:numId w:val="3"/>
        </w:numPr>
        <w:ind w:left="288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Además, el ratio de calidad de la deuda es del 0,99. Lo que quiere decir que el peso de las deudas a corto plazo es más grande que las deudas a largo plazo. Más de la mitad de las deudas son a corto plazo.</w:t>
      </w:r>
    </w:p>
    <w:p w:rsidR="00000000" w:rsidDel="00000000" w:rsidP="00000000" w:rsidRDefault="00000000" w:rsidRPr="00000000" w14:paraId="00000164">
      <w:pPr>
        <w:numPr>
          <w:ilvl w:val="1"/>
          <w:numId w:val="3"/>
        </w:numPr>
        <w:ind w:left="21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Gestión de cobros y pagos.</w:t>
      </w:r>
    </w:p>
    <w:p w:rsidR="00000000" w:rsidDel="00000000" w:rsidP="00000000" w:rsidRDefault="00000000" w:rsidRPr="00000000" w14:paraId="00000165">
      <w:pPr>
        <w:numPr>
          <w:ilvl w:val="2"/>
          <w:numId w:val="3"/>
        </w:numPr>
        <w:ind w:left="288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Cobra a sus clientes en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vertAlign w:val="baseline"/>
          <w:rtl w:val="0"/>
        </w:rPr>
        <w:t xml:space="preserve">268 o 29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días y tiene un plazo de pago a sus 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ea9999" w:val="clear"/>
          <w:rtl w:val="0"/>
        </w:rPr>
        <w:t xml:space="preserve">acreedores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ea999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dd7e6b" w:val="clear"/>
          <w:rtl w:val="0"/>
        </w:rPr>
        <w:t xml:space="preserve">55 días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6">
      <w:pPr>
        <w:numPr>
          <w:ilvl w:val="2"/>
          <w:numId w:val="3"/>
        </w:numPr>
        <w:ind w:left="2880" w:hanging="360"/>
        <w:rPr>
          <w:rFonts w:ascii="Arial" w:cs="Arial" w:eastAsia="Arial" w:hAnsi="Arial"/>
          <w:sz w:val="24"/>
          <w:szCs w:val="24"/>
          <w:highlight w:val="green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green"/>
          <w:rtl w:val="0"/>
        </w:rPr>
        <w:t xml:space="preserve">Cobra a sus clientes en 3 días y tiene un plazo de pago a sus acreedores de 55 días.</w:t>
      </w:r>
    </w:p>
    <w:p w:rsidR="00000000" w:rsidDel="00000000" w:rsidP="00000000" w:rsidRDefault="00000000" w:rsidRPr="00000000" w14:paraId="00000167">
      <w:pPr>
        <w:numPr>
          <w:ilvl w:val="1"/>
          <w:numId w:val="3"/>
        </w:numPr>
        <w:ind w:left="2160" w:hanging="360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¿Es correcta la gestión de activos?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2"/>
          <w:numId w:val="3"/>
        </w:numPr>
        <w:ind w:left="288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El Activo Corriente (Existencias, Realizable, Disponible) representa el 32,52% del total del activo. Por lo tanto, no hace falta reducir existencias.</w:t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Agrupación de las partidas de la cuenta de resultados y 8. Cálculo de porcentajes respecto al volumen de ventas</w:t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Cuenta de pérdidas y ganancias (en miles de Euros)</w:t>
      </w:r>
    </w:p>
    <w:tbl>
      <w:tblPr>
        <w:tblStyle w:val="Table6"/>
        <w:tblW w:w="872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4"/>
        <w:gridCol w:w="5012"/>
        <w:gridCol w:w="1578"/>
        <w:gridCol w:w="764"/>
        <w:gridCol w:w="372"/>
        <w:tblGridChange w:id="0">
          <w:tblGrid>
            <w:gridCol w:w="994"/>
            <w:gridCol w:w="5012"/>
            <w:gridCol w:w="1578"/>
            <w:gridCol w:w="764"/>
            <w:gridCol w:w="372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AÑO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Importe cifra de negocios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23.361.345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Aprovisionamientos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(17.358.440)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74,30%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Otros ingresos de explotación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66.319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0,28%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Gastos de 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(3.085.538)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13,21%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Otros gastos de explotación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(1.724.610)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7,38%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Amortización del inmovilizado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(559.094)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2,39%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RESULTADO DE EXPLOTACIÓN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699.982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3,00%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Ingresos financieros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10.739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0,05%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Deterioraciones y resultados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53.196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0,23%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RESULTADO FINANCIERO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63.935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0,27%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RESULTADOS ANTES DE IMPUESTOS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763.917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3,27%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1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Impuesto sobre beneficios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(141.180)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0,60%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RESULTADO DEL EJERCICIO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622.737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2,67%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Cuenta de pérdidas y ganancias (en miles de Euros)</w:t>
      </w:r>
    </w:p>
    <w:tbl>
      <w:tblPr>
        <w:tblStyle w:val="Table7"/>
        <w:tblW w:w="871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4995"/>
        <w:gridCol w:w="1578"/>
        <w:gridCol w:w="778"/>
        <w:gridCol w:w="379"/>
        <w:tblGridChange w:id="0">
          <w:tblGrid>
            <w:gridCol w:w="990"/>
            <w:gridCol w:w="4995"/>
            <w:gridCol w:w="1578"/>
            <w:gridCol w:w="778"/>
            <w:gridCol w:w="379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AÑO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Importe cifra de negocios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24.680.682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Aprovisionamientos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(18.147.082)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73,52%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Otros ingresos de explotación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72.177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0,29%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Gastos de 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(3.265.179)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13,22%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Otros gastos de explotación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(1.810.417)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7,33%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Amortización del inmovilizado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(630.679)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2,55%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Resultado por alienaciones del inmovilizado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18.524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0,07%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RESULTADO DE EXPLOTACIÓN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918.026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3,71%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Ingresos financieros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4.554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0,01%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RESULTADO FINANCIERO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4.554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0,01%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RESULTADOS ANTES DE IMPUESTOS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922.580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E">
            <w:pPr>
              <w:ind w:left="708" w:hanging="708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3,73%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1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Impuesto sobre beneficios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(195.424)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0,79%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RESULTADO DEL EJERCICIO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727.156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2,94%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ind w:left="1080" w:firstLine="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1080" w:firstLine="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Representación gráfica de la cuenta de resultados</w:t>
      </w:r>
    </w:p>
    <w:tbl>
      <w:tblPr>
        <w:tblStyle w:val="Table8"/>
        <w:tblW w:w="800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1"/>
        <w:gridCol w:w="2036"/>
        <w:gridCol w:w="2179"/>
        <w:gridCol w:w="1954"/>
        <w:tblGridChange w:id="0">
          <w:tblGrid>
            <w:gridCol w:w="1831"/>
            <w:gridCol w:w="2036"/>
            <w:gridCol w:w="2179"/>
            <w:gridCol w:w="1954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Año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Año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15" w:hRule="atLeast"/>
          <w:tblHeader w:val="0"/>
        </w:trPr>
        <w:tc>
          <w:tcPr>
            <w:shd w:fill="1234a2" w:val="clear"/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74,30%</w:t>
            </w:r>
          </w:p>
        </w:tc>
        <w:tc>
          <w:tcPr>
            <w:vMerge w:val="restart"/>
            <w:shd w:fill="66ff66" w:val="clear"/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100%</w:t>
            </w:r>
          </w:p>
        </w:tc>
        <w:tc>
          <w:tcPr>
            <w:shd w:fill="1234a2" w:val="clear"/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73,52%</w:t>
            </w:r>
          </w:p>
        </w:tc>
        <w:tc>
          <w:tcPr>
            <w:vMerge w:val="restart"/>
            <w:shd w:fill="66ff66" w:val="clear"/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100%</w:t>
            </w:r>
          </w:p>
        </w:tc>
      </w:tr>
      <w:tr>
        <w:trPr>
          <w:cantSplit w:val="1"/>
          <w:trHeight w:val="1841" w:hRule="atLeast"/>
          <w:tblHeader w:val="0"/>
        </w:trPr>
        <w:tc>
          <w:tcPr>
            <w:shd w:fill="2e74b5" w:val="clear"/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23,26%</w:t>
            </w:r>
          </w:p>
        </w:tc>
        <w:tc>
          <w:tcPr>
            <w:vMerge w:val="continue"/>
            <w:shd w:fill="66ff66" w:val="clear"/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74b5" w:val="clear"/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23,46%</w:t>
            </w:r>
          </w:p>
        </w:tc>
        <w:tc>
          <w:tcPr>
            <w:vMerge w:val="continue"/>
            <w:shd w:fill="66ff66" w:val="clear"/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6" w:hRule="atLeast"/>
          <w:tblHeader w:val="0"/>
        </w:trPr>
        <w:tc>
          <w:tcPr>
            <w:shd w:fill="66ffff" w:val="clear"/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  <w:tc>
          <w:tcPr>
            <w:vMerge w:val="continue"/>
            <w:shd w:fill="66ff66" w:val="clear"/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ffff" w:val="clear"/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  <w:tc>
          <w:tcPr>
            <w:vMerge w:val="continue"/>
            <w:shd w:fill="66ff66" w:val="clear"/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bdd6ee" w:val="clear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0,60%</w:t>
            </w:r>
          </w:p>
        </w:tc>
        <w:tc>
          <w:tcPr>
            <w:vMerge w:val="continue"/>
            <w:shd w:fill="66ff66" w:val="clear"/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6ee" w:val="clear"/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0,79%</w:t>
            </w:r>
          </w:p>
        </w:tc>
        <w:tc>
          <w:tcPr>
            <w:vMerge w:val="continue"/>
            <w:shd w:fill="66ff66" w:val="clear"/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9966ff" w:val="clear"/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2,67%</w:t>
            </w:r>
          </w:p>
        </w:tc>
        <w:tc>
          <w:tcPr>
            <w:vMerge w:val="continue"/>
            <w:shd w:fill="66ff66" w:val="clear"/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66ff" w:val="clear"/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2,94%</w:t>
            </w:r>
          </w:p>
        </w:tc>
        <w:tc>
          <w:tcPr>
            <w:vMerge w:val="continue"/>
            <w:shd w:fill="66ff66" w:val="clear"/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090.0" w:type="dxa"/>
        <w:jc w:val="left"/>
        <w:tblInd w:w="1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"/>
        <w:gridCol w:w="281"/>
        <w:gridCol w:w="1616"/>
        <w:gridCol w:w="425"/>
        <w:gridCol w:w="283"/>
        <w:gridCol w:w="1418"/>
        <w:gridCol w:w="425"/>
        <w:gridCol w:w="284"/>
        <w:gridCol w:w="1842"/>
        <w:gridCol w:w="236"/>
        <w:tblGridChange w:id="0">
          <w:tblGrid>
            <w:gridCol w:w="280"/>
            <w:gridCol w:w="281"/>
            <w:gridCol w:w="1616"/>
            <w:gridCol w:w="425"/>
            <w:gridCol w:w="283"/>
            <w:gridCol w:w="1418"/>
            <w:gridCol w:w="425"/>
            <w:gridCol w:w="284"/>
            <w:gridCol w:w="1842"/>
            <w:gridCol w:w="236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9966ff" w:val="clear"/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Beneficio Neto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dd6ee" w:val="clear"/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Impuestos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66ffff" w:val="clear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Gastos financieros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ind w:left="720" w:firstLine="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090.0" w:type="dxa"/>
        <w:jc w:val="left"/>
        <w:tblInd w:w="1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"/>
        <w:gridCol w:w="281"/>
        <w:gridCol w:w="1616"/>
        <w:gridCol w:w="425"/>
        <w:gridCol w:w="283"/>
        <w:gridCol w:w="1418"/>
        <w:gridCol w:w="425"/>
        <w:gridCol w:w="284"/>
        <w:gridCol w:w="1842"/>
        <w:gridCol w:w="236"/>
        <w:tblGridChange w:id="0">
          <w:tblGrid>
            <w:gridCol w:w="280"/>
            <w:gridCol w:w="281"/>
            <w:gridCol w:w="1616"/>
            <w:gridCol w:w="425"/>
            <w:gridCol w:w="283"/>
            <w:gridCol w:w="1418"/>
            <w:gridCol w:w="425"/>
            <w:gridCol w:w="284"/>
            <w:gridCol w:w="1842"/>
            <w:gridCol w:w="236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2e74b5" w:val="clear"/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Costes Fijos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1234a2" w:val="clear"/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Costes ventas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66ff66" w:val="clear"/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Ventas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ind w:left="720" w:firstLine="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720" w:firstLine="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Análisis de la tasa de expansión de las ventas</w:t>
      </w:r>
    </w:p>
    <w:p w:rsidR="00000000" w:rsidDel="00000000" w:rsidP="00000000" w:rsidRDefault="00000000" w:rsidRPr="00000000" w14:paraId="00000267">
      <w:pPr>
        <w:numPr>
          <w:ilvl w:val="0"/>
          <w:numId w:val="4"/>
        </w:numPr>
        <w:ind w:left="1776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Las ventas han aumentado en valores absolutos en 1.319.337 miles de euros (24.680.682 - 23.361.345 = 1.319.337) y el beneficio aumenta en 104.390 miles de euros (727.156 - 622.737 = 104.419), lo que produce un aumento en los beneficios del 2,67% al 2,94%.</w:t>
      </w:r>
    </w:p>
    <w:p w:rsidR="00000000" w:rsidDel="00000000" w:rsidP="00000000" w:rsidRDefault="00000000" w:rsidRPr="00000000" w14:paraId="00000268">
      <w:pPr>
        <w:numPr>
          <w:ilvl w:val="0"/>
          <w:numId w:val="4"/>
        </w:numPr>
        <w:ind w:left="1776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El aumento del beneficio neto en % es debido a que no tenemos cargas financieras, aunque el coste de las ventas y los impuestos han aumentado y aunque los costes fijos aumentan del 23,26% al 23,46%.</w:t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ind w:left="1776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El impuesto de sociedades ha aumentado debido al aumento de los beneficios.</w:t>
      </w:r>
    </w:p>
    <w:p w:rsidR="00000000" w:rsidDel="00000000" w:rsidP="00000000" w:rsidRDefault="00000000" w:rsidRPr="00000000" w14:paraId="0000026A">
      <w:pPr>
        <w:numPr>
          <w:ilvl w:val="0"/>
          <w:numId w:val="4"/>
        </w:numPr>
        <w:ind w:left="1776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Tasa de expansión = Ventas 2020 / Ventas 2019.</w:t>
      </w:r>
    </w:p>
    <w:p w:rsidR="00000000" w:rsidDel="00000000" w:rsidP="00000000" w:rsidRDefault="00000000" w:rsidRPr="00000000" w14:paraId="0000026B">
      <w:pPr>
        <w:numPr>
          <w:ilvl w:val="0"/>
          <w:numId w:val="4"/>
        </w:numPr>
        <w:ind w:left="1776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vertAlign w:val="baseline"/>
          <w:rtl w:val="0"/>
        </w:rPr>
        <w:t xml:space="preserve">La tasa de expansión de las ventas es del 1,18, lo cual indica que en el segundo año se ha producido una expansión del 18% en las ventas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Análisis de los gastos fijos y variables</w:t>
      </w:r>
    </w:p>
    <w:p w:rsidR="00000000" w:rsidDel="00000000" w:rsidP="00000000" w:rsidRDefault="00000000" w:rsidRPr="00000000" w14:paraId="0000026D">
      <w:pPr>
        <w:numPr>
          <w:ilvl w:val="0"/>
          <w:numId w:val="4"/>
        </w:numPr>
        <w:ind w:left="1776" w:hanging="36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 partir de los ratios podemos deducir lo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1"/>
          <w:numId w:val="4"/>
        </w:numPr>
        <w:ind w:left="2496" w:hanging="36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Los gastos fijos aumentan del 23,26% al 23,46% (5.796.976 - 5.435.561 = 361.415 miles de euros), aunque en valor absoluto se mantienen aproximadamente iguales.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1"/>
          <w:numId w:val="4"/>
        </w:numPr>
        <w:ind w:left="2496" w:hanging="36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En cambio, los gastos variables disminuyen del 73,52% al 74,30%.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1"/>
          <w:numId w:val="4"/>
        </w:numPr>
        <w:ind w:left="2496" w:hanging="36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Como todos los gastos (tanto de personal, como de explotación entre otros) han aumentado, todos los ratios se han mantenido iguales o han aumentado de un año a otro.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Calcular el punto de equilibrio</w:t>
      </w:r>
    </w:p>
    <w:p w:rsidR="00000000" w:rsidDel="00000000" w:rsidP="00000000" w:rsidRDefault="00000000" w:rsidRPr="00000000" w14:paraId="00000272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Punto de equilibrio =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Costes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Fijos / (1 - (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Costes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Variables / Importe Ventas)).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Año 2019: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2"/>
          <w:numId w:val="2"/>
        </w:numPr>
        <w:ind w:left="2160" w:hanging="18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Punto de equilibrio = 5.435.561 / (1 – (17.358.440 / 23.361.345)) = 21.153.427,51 (u.m.).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Año 2020: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2"/>
          <w:numId w:val="2"/>
        </w:numPr>
        <w:ind w:left="2304" w:hanging="18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Punto de equilibrio = 5.796.976 / (1 – (18.147.082 / 24.680.682)) = 21.898.083,94 (u.m.).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Diagnóstico de la empresa en relación a la situación económica. Cuenta de resultados.</w:t>
      </w:r>
    </w:p>
    <w:p w:rsidR="00000000" w:rsidDel="00000000" w:rsidP="00000000" w:rsidRDefault="00000000" w:rsidRPr="00000000" w14:paraId="00000278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279">
      <w:pPr>
        <w:numPr>
          <w:ilvl w:val="0"/>
          <w:numId w:val="8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Ratios</w:t>
      </w:r>
    </w:p>
    <w:p w:rsidR="00000000" w:rsidDel="00000000" w:rsidP="00000000" w:rsidRDefault="00000000" w:rsidRPr="00000000" w14:paraId="0000027A">
      <w:pPr>
        <w:numPr>
          <w:ilvl w:val="1"/>
          <w:numId w:val="8"/>
        </w:numPr>
        <w:spacing w:after="0" w:afterAutospacing="0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Endeudamiento: La empresa tiene un RE de 0,37, lo que significa que tiene un exceso de Patrimonio Neto.</w:t>
      </w:r>
    </w:p>
    <w:p w:rsidR="00000000" w:rsidDel="00000000" w:rsidP="00000000" w:rsidRDefault="00000000" w:rsidRPr="00000000" w14:paraId="0000027B">
      <w:pPr>
        <w:numPr>
          <w:ilvl w:val="1"/>
          <w:numId w:val="8"/>
        </w:numPr>
        <w:spacing w:after="0" w:afterAutospacing="0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Calidad de la deuda: La calidad de la deuda es óptima (0,99) ya que la mayor parte de ella es a corto plazo (Pasivo Corriente), esta se mantiene en ambos años. </w:t>
      </w:r>
    </w:p>
    <w:p w:rsidR="00000000" w:rsidDel="00000000" w:rsidP="00000000" w:rsidRDefault="00000000" w:rsidRPr="00000000" w14:paraId="0000027C">
      <w:pPr>
        <w:numPr>
          <w:ilvl w:val="1"/>
          <w:numId w:val="8"/>
        </w:numPr>
        <w:spacing w:after="0" w:afterAutospacing="0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Liquidez: En 2020 (0,9) mejora la cantidad de liquidez de la empresa respecto a 2019 (0,82), aún así, sigue estando por debajo del umbral recomendado (1-1,5).</w:t>
      </w:r>
    </w:p>
    <w:p w:rsidR="00000000" w:rsidDel="00000000" w:rsidP="00000000" w:rsidRDefault="00000000" w:rsidRPr="00000000" w14:paraId="0000027D">
      <w:pPr>
        <w:numPr>
          <w:ilvl w:val="1"/>
          <w:numId w:val="8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Plazo de cobro y pago: En 2019 es reducido (5 días), lo que significa que es correcto, y en el año 2020 mejora significativamente (3 días). </w:t>
      </w:r>
    </w:p>
    <w:p w:rsidR="00000000" w:rsidDel="00000000" w:rsidP="00000000" w:rsidRDefault="00000000" w:rsidRPr="00000000" w14:paraId="0000027E">
      <w:pPr>
        <w:ind w:left="21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plazo de pago 2019 es alto (53 días), lo cual es beneficioso para la empresa, y en 2020 mejora (55 días).</w:t>
      </w:r>
    </w:p>
    <w:p w:rsidR="00000000" w:rsidDel="00000000" w:rsidP="00000000" w:rsidRDefault="00000000" w:rsidRPr="00000000" w14:paraId="0000027F">
      <w:pPr>
        <w:ind w:left="21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Comparando estos resultados se puede observar que la relación entre cobro y pago se amplía, por lo tanto, esto beneficia a la empresa ya que tiene más margen para pagar.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Hecha por: Martínez Rovira Marc, Álvarez Strohmeier Eric, Hidalgo Aragón Arturo, Alcázar Perdomo Pau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9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cs="Courier New" w:eastAsia="Courier New" w:hAnsi="Courier New"/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⮚"/>
      <w:lvlJc w:val="left"/>
      <w:pPr>
        <w:ind w:left="2136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⮚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✔"/>
      <w:lvlJc w:val="left"/>
      <w:pPr>
        <w:ind w:left="2160" w:hanging="18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IUbh41E/a83YTHCHVuco7VknRA==">AMUW2mXms6mThqBReWNq0RIGhdTrYvNbiY1QN2UwokWQ5ls5G3t9cyJszHAN110ERAewCFPijn/9bq18bBrHcx/CvvvN0yKV3jCrFop+gIq9dtU4b6ExIXg=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2022-03-05T16:13:00Z</dcterms:created>
  <dc:creator>Marc</dc:creator>
</cp:coreProperties>
</file>