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<w:body>
    <w:p>
      <w:pPr>
        <w:jc w:val="center"/>
        <w:spacing w:after="0"/>
      </w:pPr>
      <w:r>
        <w:rPr/>
        <w:drawing>
          <wp:inline xmlns:wp="http://schemas.openxmlformats.org/drawingml/2006/wordprocessingDrawing" distT="0" distB="0" distL="0" distR="0">
            <wp:extent cx="4032000" cy="666611"/>
            <wp:effectExtent l="0" t="0" r="0" b="0"/>
            <wp:docPr id="1" name="log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"/>
                    <pic:cNvPicPr/>
                  </pic:nvPicPr>
                  <pic:blipFill>
                    <a:blip xmlns:r="http://schemas.openxmlformats.org/officeDocument/2006/relationships"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4032000" cy="666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pBdr>
          <w:bottom w:val="single" w:sz="12" w:space="1" w:color="C9A84C"/>
        </w:pBdr>
      </w:pPr>
    </w:p>
{{BODY_PLACEHOLDER}}
    <w:sectPr>
      <w:pgSz w:w="12240" w:h="15840"/>
      <w:pgMar w:top="720" w:right="1080" w:bottom="1080" w:left="1080"/>
    </w:sectPr>
  </w:body>
</w:document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image" Target="media/logo.png"/>
</Relationships>
</file>