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01118A4C"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(3</w:t>
      </w:r>
      <w:r w:rsidR="00B24A31">
        <w:rPr>
          <w:rFonts w:ascii="Helvetica" w:hAnsi="Helvetica" w:cs="Helvetica Light"/>
          <w:sz w:val="24"/>
          <w:szCs w:val="24"/>
        </w:rPr>
        <w:t>) other sampling problems (Sec. 10.3)</w:t>
      </w:r>
      <w:r w:rsidR="003B587B">
        <w:rPr>
          <w:rFonts w:ascii="Helvetica" w:hAnsi="Helvetica" w:cs="Helvetica Light"/>
          <w:sz w:val="24"/>
          <w:szCs w:val="24"/>
        </w:rPr>
        <w:t>, (4</w:t>
      </w:r>
      <w:r w:rsidR="00B24A31">
        <w:rPr>
          <w:rFonts w:ascii="Helvetica" w:hAnsi="Helvetica" w:cs="Helvetica Light"/>
          <w:sz w:val="24"/>
          <w:szCs w:val="24"/>
        </w:rPr>
        <w:t xml:space="preserve">) </w:t>
      </w:r>
      <w:r w:rsidR="00BF218C">
        <w:rPr>
          <w:rFonts w:ascii="Helvetica" w:hAnsi="Helvetica" w:cs="Helvetica Light"/>
          <w:sz w:val="24"/>
          <w:szCs w:val="24"/>
        </w:rPr>
        <w:t xml:space="preserve">quantum simulations (Sec. 10.4), </w:t>
      </w:r>
      <w:r w:rsidR="003B587B">
        <w:rPr>
          <w:rFonts w:ascii="Helvetica" w:hAnsi="Helvetica" w:cs="Helvetica Light"/>
          <w:sz w:val="24"/>
          <w:szCs w:val="24"/>
        </w:rPr>
        <w:t>(5</w:t>
      </w:r>
      <w:r w:rsidR="00B24A31">
        <w:rPr>
          <w:rFonts w:ascii="Helvetica" w:hAnsi="Helvetica" w:cs="Helvetica Light"/>
          <w:sz w:val="24"/>
          <w:szCs w:val="24"/>
        </w:rPr>
        <w:t>) repeater networks (Sec. 10.6), and (</w:t>
      </w:r>
      <w:r w:rsidR="003B587B">
        <w:rPr>
          <w:rFonts w:ascii="Helvetica" w:hAnsi="Helvetica" w:cs="Helvetica Light"/>
          <w:sz w:val="24"/>
          <w:szCs w:val="24"/>
        </w:rPr>
        <w:t>6</w:t>
      </w:r>
      <w:r w:rsidR="00B24A31">
        <w:rPr>
          <w:rFonts w:ascii="Helvetica" w:hAnsi="Helvetica" w:cs="Helvetica Light"/>
          <w:sz w:val="24"/>
          <w:szCs w:val="24"/>
        </w:rPr>
        <w:t>) optical switch (Sec. 11).</w:t>
      </w:r>
      <w:r w:rsidR="00F31FAA">
        <w:rPr>
          <w:rFonts w:ascii="Helvetica" w:hAnsi="Helvetica" w:cs="Helvetica Light"/>
          <w:sz w:val="24"/>
          <w:szCs w:val="24"/>
        </w:rPr>
        <w:t xml:space="preserve"> We have also added a paragraph on quantum key distribution under subsection 10.1.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5DF7B1EE"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Pr>
          <w:rFonts w:ascii="Helvetica" w:hAnsi="Helvetica" w:cs="Helvetica Light"/>
          <w:sz w:val="24"/>
          <w:szCs w:val="24"/>
        </w:rPr>
        <w:t xml:space="preserve">to discuss </w:t>
      </w:r>
      <w:r w:rsidR="00857D28">
        <w:rPr>
          <w:rFonts w:ascii="Helvetica" w:hAnsi="Helvetica" w:cs="Helvetica Light"/>
          <w:sz w:val="24"/>
          <w:szCs w:val="24"/>
        </w:rPr>
        <w:t>it here</w:t>
      </w:r>
      <w:bookmarkStart w:id="0" w:name="_GoBack"/>
      <w:bookmarkEnd w:id="0"/>
      <w:r>
        <w:rPr>
          <w:rFonts w:ascii="Helvetica" w:hAnsi="Helvetica" w:cs="Helvetica Light"/>
          <w:sz w:val="24"/>
          <w:szCs w:val="24"/>
        </w:rPr>
        <w:t xml:space="preserve">. For this, we have added a paragraph </w:t>
      </w:r>
      <w:r w:rsidR="004F0A7A">
        <w:rPr>
          <w:rFonts w:ascii="Helvetica" w:hAnsi="Helvetica" w:cs="Helvetica Light"/>
          <w:sz w:val="24"/>
          <w:szCs w:val="24"/>
        </w:rPr>
        <w:t>in Sec. 10.1.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Pr="00BC54EF" w:rsidRDefault="00875FAD"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Pr="00BC54EF" w:rsidRDefault="00875FAD" w:rsidP="00BC54EF">
      <w:pPr>
        <w:spacing w:after="0"/>
        <w:ind w:left="72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Pr="00BC54EF" w:rsidRDefault="00875FAD"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6A24DC6C" w14:textId="77777777" w:rsidR="00875FAD" w:rsidRPr="00BC54EF" w:rsidRDefault="00875FAD"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Pr="00BC54EF" w:rsidRDefault="00875FAD" w:rsidP="00BC54EF">
      <w:pPr>
        <w:spacing w:after="0"/>
        <w:ind w:left="72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831458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1) The review is fully focused on quantum effects, yet this is not reflected in the title. Consider changing the title to include word “quantum”.</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5"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16D8A347"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6"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7"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0FFC9F6E"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697D011F"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8"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9"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0"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1"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3490E"/>
    <w:rsid w:val="00196228"/>
    <w:rsid w:val="001A59AB"/>
    <w:rsid w:val="00267D7C"/>
    <w:rsid w:val="002F0B73"/>
    <w:rsid w:val="00310502"/>
    <w:rsid w:val="003443CB"/>
    <w:rsid w:val="003B587B"/>
    <w:rsid w:val="00421EF0"/>
    <w:rsid w:val="004F0A7A"/>
    <w:rsid w:val="00547A7F"/>
    <w:rsid w:val="00566CFE"/>
    <w:rsid w:val="005777CE"/>
    <w:rsid w:val="005E70AA"/>
    <w:rsid w:val="00622F65"/>
    <w:rsid w:val="0075573E"/>
    <w:rsid w:val="00801706"/>
    <w:rsid w:val="00814294"/>
    <w:rsid w:val="00857D28"/>
    <w:rsid w:val="00875FAD"/>
    <w:rsid w:val="00882443"/>
    <w:rsid w:val="00891E96"/>
    <w:rsid w:val="008D53D9"/>
    <w:rsid w:val="00987EF0"/>
    <w:rsid w:val="00A81784"/>
    <w:rsid w:val="00B24A31"/>
    <w:rsid w:val="00B34E99"/>
    <w:rsid w:val="00BC54EF"/>
    <w:rsid w:val="00BF218C"/>
    <w:rsid w:val="00BF4081"/>
    <w:rsid w:val="00C00DE3"/>
    <w:rsid w:val="00C734DA"/>
    <w:rsid w:val="00CA3A15"/>
    <w:rsid w:val="00CB2FB7"/>
    <w:rsid w:val="00CE2C6F"/>
    <w:rsid w:val="00E43692"/>
    <w:rsid w:val="00EC7464"/>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38/srep1948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26/science.aab3642" TargetMode="External"/><Relationship Id="rId6" Type="http://schemas.openxmlformats.org/officeDocument/2006/relationships/hyperlink" Target="https://doi.org/10.1515/nanoph-2016-0022" TargetMode="External"/><Relationship Id="rId7" Type="http://schemas.openxmlformats.org/officeDocument/2006/relationships/hyperlink" Target="http://dx.doi.org/10.1016/j.revip.2016.11.003" TargetMode="External"/><Relationship Id="rId8" Type="http://schemas.openxmlformats.org/officeDocument/2006/relationships/hyperlink" Target="http://dx.doi.org/10.1038/NPHOTON.2011.283" TargetMode="External"/><Relationship Id="rId9" Type="http://schemas.openxmlformats.org/officeDocument/2006/relationships/hyperlink" Target="http://dx.doi.org/10.1364/OPTICA.3.000226" TargetMode="External"/><Relationship Id="rId10" Type="http://schemas.openxmlformats.org/officeDocument/2006/relationships/hyperlink" Target="http://dx.doi.org/10.1364/OL.41.004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2015</Words>
  <Characters>11486</Characters>
  <Application>Microsoft Macintosh Word</Application>
  <DocSecurity>0</DocSecurity>
  <Lines>95</Lines>
  <Paragraphs>26</Paragraphs>
  <ScaleCrop>false</ScaleCrop>
  <Company>MIT</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34</cp:revision>
  <dcterms:created xsi:type="dcterms:W3CDTF">2017-12-31T01:28:00Z</dcterms:created>
  <dcterms:modified xsi:type="dcterms:W3CDTF">2018-01-03T02:38:00Z</dcterms:modified>
</cp:coreProperties>
</file>