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5624CA">
      <w:pPr>
        <w:bidi/>
        <w:spacing w:before="1200" w:after="200"/>
        <w:jc w:val="center"/>
      </w:pPr>
      <w:bookmarkStart w:id="0" w:name="_GoBack"/>
      <w:bookmarkEnd w:id="0"/>
      <w:r>
        <w:rPr>
          <w:rFonts w:ascii="DejaVu Sans" w:hAnsi="DejaVu Sans" w:eastAsia="DejaVu Sans" w:cs="DejaVu Sans"/>
          <w:b/>
          <w:bCs/>
          <w:color w:val="1F4E5F"/>
          <w:sz w:val="56"/>
          <w:szCs w:val="56"/>
          <w:rtl/>
        </w:rPr>
        <w:t>نظريات ونماذج الابتكار</w:t>
      </w:r>
    </w:p>
    <w:p w14:paraId="6D59C612">
      <w:pPr>
        <w:bidi/>
        <w:spacing w:after="100"/>
        <w:jc w:val="center"/>
      </w:pPr>
      <w:r>
        <w:rPr>
          <w:rFonts w:ascii="DejaVu Sans" w:hAnsi="DejaVu Sans" w:eastAsia="DejaVu Sans" w:cs="DejaVu Sans"/>
          <w:color w:val="2E75B6"/>
          <w:sz w:val="26"/>
          <w:szCs w:val="26"/>
          <w:rtl/>
        </w:rPr>
        <w:t>الابتكار الجذري والتدريجي  •  الابتكار المفتوح  •  نموذج الابتكار المستمر</w:t>
      </w:r>
    </w:p>
    <w:p w14:paraId="2D7EAD25">
      <w:pPr>
        <w:bidi/>
        <w:spacing w:after="40"/>
        <w:jc w:val="center"/>
      </w:pPr>
      <w:r>
        <w:rPr>
          <w:rFonts w:ascii="DejaVu Sans" w:hAnsi="DejaVu Sans" w:eastAsia="DejaVu Sans" w:cs="DejaVu Sans"/>
          <w:i/>
          <w:iCs/>
          <w:sz w:val="24"/>
          <w:szCs w:val="24"/>
          <w:rtl/>
        </w:rPr>
        <w:t>شرح تفصيلي موسّع للمحاضرة مع أمثلة توضيحية</w:t>
      </w:r>
    </w:p>
    <w:p w14:paraId="2F216C70">
      <w:pPr>
        <w:bidi/>
        <w:spacing w:after="40"/>
        <w:jc w:val="center"/>
      </w:pPr>
      <w:r>
        <w:rPr>
          <w:rFonts w:ascii="DejaVu Sans" w:hAnsi="DejaVu Sans" w:eastAsia="DejaVu Sans" w:cs="DejaVu Sans"/>
          <w:color w:val="555555"/>
          <w:sz w:val="22"/>
          <w:szCs w:val="22"/>
          <w:rtl/>
        </w:rPr>
        <w:t>مادة: الابتكار وإدارة المشاريع الرقمية  |  محاضرة لطلبة الدراسات العليا</w:t>
      </w:r>
    </w:p>
    <w:p w14:paraId="17175BE4">
      <w:pPr>
        <w:spacing w:after="4000"/>
      </w:pPr>
    </w:p>
    <w:p w14:paraId="3573F01F">
      <w:r>
        <w:br w:type="page"/>
      </w:r>
    </w:p>
    <w:p w14:paraId="69562617">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أهداف المحاضرة</w:t>
      </w:r>
    </w:p>
    <w:p w14:paraId="62450F78">
      <w:pPr>
        <w:bidi/>
        <w:spacing w:after="160" w:line="300" w:lineRule="auto"/>
        <w:jc w:val="right"/>
      </w:pPr>
      <w:r>
        <w:rPr>
          <w:rFonts w:ascii="DejaVu Sans" w:hAnsi="DejaVu Sans" w:eastAsia="DejaVu Sans" w:cs="DejaVu Sans"/>
          <w:b w:val="0"/>
          <w:bCs w:val="0"/>
          <w:i w:val="0"/>
          <w:iCs w:val="0"/>
          <w:sz w:val="22"/>
          <w:szCs w:val="22"/>
          <w:rtl/>
        </w:rPr>
        <w:t>تسعى هذه المحاضرة إلى تزويد طالب الدراسات العليا بإطار مفاهيمي ونظري متكامل لفهم الابتكار، لا كفكرة عامة، بل كمنظومة لها نظرياتها ونماذجها وأدواتها القابلة للتطبيق في بيئة المشاريع الرقمية. وتتوزع أهدافها على النحو التالي:</w:t>
      </w:r>
    </w:p>
    <w:p w14:paraId="361EA123">
      <w:pPr>
        <w:pStyle w:val="16"/>
        <w:numPr>
          <w:ilvl w:val="0"/>
          <w:numId w:val="1"/>
        </w:numPr>
        <w:bidi/>
        <w:spacing w:after="100" w:line="290" w:lineRule="auto"/>
        <w:jc w:val="right"/>
      </w:pPr>
      <w:r>
        <w:rPr>
          <w:rFonts w:ascii="DejaVu Sans" w:hAnsi="DejaVu Sans" w:eastAsia="DejaVu Sans" w:cs="DejaVu Sans"/>
          <w:sz w:val="22"/>
          <w:szCs w:val="22"/>
          <w:rtl/>
        </w:rPr>
        <w:t>فهم مفهوم الابتكار وأبعاده المختلفة (المنتج، الخدمة، العملية، نموذج الأعمال).</w:t>
      </w:r>
    </w:p>
    <w:p w14:paraId="69A136AC">
      <w:pPr>
        <w:pStyle w:val="16"/>
        <w:numPr>
          <w:ilvl w:val="0"/>
          <w:numId w:val="1"/>
        </w:numPr>
        <w:bidi/>
        <w:spacing w:after="100" w:line="290" w:lineRule="auto"/>
        <w:jc w:val="right"/>
      </w:pPr>
      <w:r>
        <w:rPr>
          <w:rFonts w:ascii="DejaVu Sans" w:hAnsi="DejaVu Sans" w:eastAsia="DejaVu Sans" w:cs="DejaVu Sans"/>
          <w:sz w:val="22"/>
          <w:szCs w:val="22"/>
          <w:rtl/>
        </w:rPr>
        <w:t>التمييز بدقة بين الابتكار الجذري (Radical) والابتكار التدريجي (Incremental) من حيث الدرجة والمخاطرة والأثر.</w:t>
      </w:r>
    </w:p>
    <w:p w14:paraId="51E2CDD8">
      <w:pPr>
        <w:pStyle w:val="16"/>
        <w:numPr>
          <w:ilvl w:val="0"/>
          <w:numId w:val="1"/>
        </w:numPr>
        <w:bidi/>
        <w:spacing w:after="100" w:line="290" w:lineRule="auto"/>
        <w:jc w:val="right"/>
      </w:pPr>
      <w:r>
        <w:rPr>
          <w:rFonts w:ascii="DejaVu Sans" w:hAnsi="DejaVu Sans" w:eastAsia="DejaVu Sans" w:cs="DejaVu Sans"/>
          <w:sz w:val="22"/>
          <w:szCs w:val="22"/>
          <w:rtl/>
        </w:rPr>
        <w:t>تحليل مفهوم الابتكار المفتوح (Open Innovation) وفهم أبعاده الثلاثة.</w:t>
      </w:r>
    </w:p>
    <w:p w14:paraId="09751CB4">
      <w:pPr>
        <w:pStyle w:val="16"/>
        <w:numPr>
          <w:ilvl w:val="0"/>
          <w:numId w:val="1"/>
        </w:numPr>
        <w:bidi/>
        <w:spacing w:after="100" w:line="290" w:lineRule="auto"/>
        <w:jc w:val="right"/>
      </w:pPr>
      <w:r>
        <w:rPr>
          <w:rFonts w:ascii="DejaVu Sans" w:hAnsi="DejaVu Sans" w:eastAsia="DejaVu Sans" w:cs="DejaVu Sans"/>
          <w:sz w:val="22"/>
          <w:szCs w:val="22"/>
          <w:rtl/>
        </w:rPr>
        <w:t>فهم نموذج الابتكار المستمر (Continuous Innovation) كقدرة تنظيمية دائمة وليس مشروعاً مؤقتاً.</w:t>
      </w:r>
    </w:p>
    <w:p w14:paraId="07C59AD4">
      <w:pPr>
        <w:pStyle w:val="16"/>
        <w:numPr>
          <w:ilvl w:val="0"/>
          <w:numId w:val="1"/>
        </w:numPr>
        <w:bidi/>
        <w:spacing w:after="100" w:line="290" w:lineRule="auto"/>
        <w:jc w:val="right"/>
      </w:pPr>
      <w:r>
        <w:rPr>
          <w:rFonts w:ascii="DejaVu Sans" w:hAnsi="DejaVu Sans" w:eastAsia="DejaVu Sans" w:cs="DejaVu Sans"/>
          <w:sz w:val="22"/>
          <w:szCs w:val="22"/>
          <w:rtl/>
        </w:rPr>
        <w:t>ربط الابتكار بالاقتصاد الرقمي وبإدارة المشاريع الرقمية تحديداً.</w:t>
      </w:r>
    </w:p>
    <w:p w14:paraId="19B13B0A">
      <w:pPr>
        <w:pStyle w:val="16"/>
        <w:numPr>
          <w:ilvl w:val="0"/>
          <w:numId w:val="1"/>
        </w:numPr>
        <w:bidi/>
        <w:spacing w:after="100" w:line="290" w:lineRule="auto"/>
        <w:jc w:val="right"/>
      </w:pPr>
      <w:r>
        <w:rPr>
          <w:rFonts w:ascii="DejaVu Sans" w:hAnsi="DejaVu Sans" w:eastAsia="DejaVu Sans" w:cs="DejaVu Sans"/>
          <w:sz w:val="22"/>
          <w:szCs w:val="22"/>
          <w:rtl/>
        </w:rPr>
        <w:t>مناقشة تطبيقات الابتكار وتحدياته وطرق قياس أدائه في المؤسسات.</w:t>
      </w:r>
    </w:p>
    <w:tbl>
      <w:tblPr>
        <w:tblStyle w:val="9"/>
        <w:bidiVisual/>
        <w:tblW w:w="9700" w:type="dxa"/>
        <w:tblInd w:w="0" w:type="dxa"/>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Layout w:type="autofit"/>
        <w:tblCellMar>
          <w:top w:w="0" w:type="dxa"/>
          <w:left w:w="10" w:type="dxa"/>
          <w:bottom w:w="0" w:type="dxa"/>
          <w:right w:w="10" w:type="dxa"/>
        </w:tblCellMar>
      </w:tblPr>
      <w:tblGrid>
        <w:gridCol w:w="9700"/>
      </w:tblGrid>
      <w:tr w14:paraId="7616FD8C">
        <w:tblPrEx>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PrEx>
        <w:tc>
          <w:tcPr>
            <w:tcW w:w="9700" w:type="dxa"/>
            <w:shd w:val="clear" w:color="auto" w:fill="EAF2F8"/>
            <w:tcMar>
              <w:top w:w="150" w:type="dxa"/>
              <w:left w:w="200" w:type="dxa"/>
              <w:bottom w:w="150" w:type="dxa"/>
              <w:right w:w="200" w:type="dxa"/>
            </w:tcMar>
          </w:tcPr>
          <w:p w14:paraId="289AB179">
            <w:pPr>
              <w:bidi/>
              <w:spacing w:after="80"/>
              <w:jc w:val="right"/>
            </w:pPr>
            <w:r>
              <w:rPr>
                <w:rFonts w:ascii="DejaVu Sans" w:hAnsi="DejaVu Sans" w:eastAsia="DejaVu Sans" w:cs="DejaVu Sans"/>
                <w:b/>
                <w:bCs/>
                <w:color w:val="1F4E5F"/>
                <w:sz w:val="22"/>
                <w:szCs w:val="22"/>
                <w:rtl/>
              </w:rPr>
              <w:t>🔎 لماذا هذا الترتيب؟</w:t>
            </w:r>
          </w:p>
          <w:p w14:paraId="08908B4F">
            <w:pPr>
              <w:bidi/>
              <w:spacing w:after="0"/>
              <w:jc w:val="right"/>
            </w:pPr>
            <w:r>
              <w:rPr>
                <w:rFonts w:ascii="DejaVu Sans" w:hAnsi="DejaVu Sans" w:eastAsia="DejaVu Sans" w:cs="DejaVu Sans"/>
                <w:sz w:val="21"/>
                <w:szCs w:val="21"/>
                <w:rtl/>
              </w:rPr>
              <w:t>لاحظ أن أهداف المحاضرة تسير من العام إلى الخاص: تبدأ بتعريف الابتكار، ثم تُصنّفه (جذري/تدريجي، مغلق/مفتوح، مشروع/مستمر)، ثم تربطه أخيراً بالسياق العملي وهو المشاريع الرقمية. هذا هو نفس المسار الذي يسلكه أي باحث أو مدير عند دراسة ظاهرة إدارية: تعريف → تصنيف → تطبيق → قياس.</w:t>
            </w:r>
          </w:p>
        </w:tc>
      </w:tr>
    </w:tbl>
    <w:p w14:paraId="4C4A7730">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١. مفهوم الابتكار</w:t>
      </w:r>
    </w:p>
    <w:p w14:paraId="09CB30BA">
      <w:pPr>
        <w:bidi/>
        <w:spacing w:after="160" w:line="300" w:lineRule="auto"/>
        <w:jc w:val="right"/>
      </w:pPr>
      <w:r>
        <w:rPr>
          <w:rFonts w:ascii="DejaVu Sans" w:hAnsi="DejaVu Sans" w:eastAsia="DejaVu Sans" w:cs="DejaVu Sans"/>
          <w:b w:val="0"/>
          <w:bCs w:val="0"/>
          <w:i w:val="0"/>
          <w:iCs w:val="0"/>
          <w:sz w:val="22"/>
          <w:szCs w:val="22"/>
          <w:rtl/>
        </w:rPr>
        <w:t>يُعرَّف الابتكار في المحاضرة بأنه: تحويل الأفكار والمعرفة والفرص إلى منتجات أو خدمات أو عمليات أو نماذج أعمال جديدة أو محسّنة تحقق قيمة. والعنصر الجوهري في هذا التعريف هو كلمة "تحويل" وكلمة "قيمة"؛ فالابتكار لا يكتمل إلا حين تصل الفكرة إلى تطبيق فعلي يحقق منفعة ملموسة لطرف ما (عميل، مؤسسة، مجتمع).</w:t>
      </w:r>
    </w:p>
    <w:p w14:paraId="5173EF8C">
      <w:pPr>
        <w:pStyle w:val="4"/>
        <w:bidi/>
        <w:spacing w:before="200" w:after="100"/>
        <w:jc w:val="right"/>
      </w:pPr>
      <w:r>
        <w:rPr>
          <w:rFonts w:ascii="DejaVu Sans" w:hAnsi="DejaVu Sans" w:eastAsia="DejaVu Sans" w:cs="DejaVu Sans"/>
          <w:b/>
          <w:bCs/>
          <w:color w:val="444444"/>
          <w:sz w:val="23"/>
          <w:szCs w:val="23"/>
          <w:rtl/>
        </w:rPr>
        <w:t>الابتكار مقابل الاختراع</w:t>
      </w:r>
    </w:p>
    <w:p w14:paraId="28B16AF8">
      <w:pPr>
        <w:bidi/>
        <w:spacing w:after="160" w:line="300" w:lineRule="auto"/>
        <w:jc w:val="right"/>
      </w:pPr>
      <w:r>
        <w:rPr>
          <w:rFonts w:ascii="DejaVu Sans" w:hAnsi="DejaVu Sans" w:eastAsia="DejaVu Sans" w:cs="DejaVu Sans"/>
          <w:b w:val="0"/>
          <w:bCs w:val="0"/>
          <w:i w:val="0"/>
          <w:iCs w:val="0"/>
          <w:sz w:val="22"/>
          <w:szCs w:val="22"/>
          <w:rtl/>
        </w:rPr>
        <w:t>تُميّز المحاضرة بوضوح بين مفهومين كثيراً ما يُخلط بينهما:</w:t>
      </w:r>
    </w:p>
    <w:p w14:paraId="71FB93DE">
      <w:pPr>
        <w:pStyle w:val="16"/>
        <w:numPr>
          <w:ilvl w:val="0"/>
          <w:numId w:val="1"/>
        </w:numPr>
        <w:bidi/>
        <w:spacing w:after="100" w:line="290" w:lineRule="auto"/>
        <w:jc w:val="right"/>
      </w:pPr>
      <w:r>
        <w:rPr>
          <w:rFonts w:ascii="DejaVu Sans" w:hAnsi="DejaVu Sans" w:eastAsia="DejaVu Sans" w:cs="DejaVu Sans"/>
          <w:sz w:val="22"/>
          <w:szCs w:val="22"/>
          <w:rtl/>
        </w:rPr>
        <w:t>الاختراع (Invention): يولّد فكرة جديدة أو تقنية جديدة، وقد يبقى حبيس المختبر أو براءة الاختراع دون أن يصل إلى السوق.</w:t>
      </w:r>
    </w:p>
    <w:p w14:paraId="5DBADB62">
      <w:pPr>
        <w:pStyle w:val="16"/>
        <w:numPr>
          <w:ilvl w:val="0"/>
          <w:numId w:val="1"/>
        </w:numPr>
        <w:bidi/>
        <w:spacing w:after="100" w:line="290" w:lineRule="auto"/>
        <w:jc w:val="right"/>
      </w:pPr>
      <w:r>
        <w:rPr>
          <w:rFonts w:ascii="DejaVu Sans" w:hAnsi="DejaVu Sans" w:eastAsia="DejaVu Sans" w:cs="DejaVu Sans"/>
          <w:sz w:val="22"/>
          <w:szCs w:val="22"/>
          <w:rtl/>
        </w:rPr>
        <w:t>الابتكار (Innovation): يأخذ ذلك الاختراع (أو حتى فكرة موجودة أصلاً) ويحوّله إلى تطبيق عملي ذي قيمة يستخدمه الناس فعلاً.</w:t>
      </w:r>
    </w:p>
    <w:tbl>
      <w:tblPr>
        <w:tblStyle w:val="9"/>
        <w:bidiVisual/>
        <w:tblW w:w="9700" w:type="dxa"/>
        <w:tblInd w:w="0" w:type="dxa"/>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Layout w:type="autofit"/>
        <w:tblCellMar>
          <w:top w:w="0" w:type="dxa"/>
          <w:left w:w="10" w:type="dxa"/>
          <w:bottom w:w="0" w:type="dxa"/>
          <w:right w:w="10" w:type="dxa"/>
        </w:tblCellMar>
      </w:tblPr>
      <w:tblGrid>
        <w:gridCol w:w="9700"/>
      </w:tblGrid>
      <w:tr w14:paraId="48CBD4EA">
        <w:tblPrEx>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CellMar>
            <w:top w:w="0" w:type="dxa"/>
            <w:left w:w="10" w:type="dxa"/>
            <w:bottom w:w="0" w:type="dxa"/>
            <w:right w:w="10" w:type="dxa"/>
          </w:tblCellMar>
        </w:tblPrEx>
        <w:tc>
          <w:tcPr>
            <w:tcW w:w="9700" w:type="dxa"/>
            <w:shd w:val="clear" w:color="auto" w:fill="EAF2F8"/>
            <w:tcMar>
              <w:top w:w="150" w:type="dxa"/>
              <w:left w:w="200" w:type="dxa"/>
              <w:bottom w:w="150" w:type="dxa"/>
              <w:right w:w="200" w:type="dxa"/>
            </w:tcMar>
          </w:tcPr>
          <w:p w14:paraId="0CEEC374">
            <w:pPr>
              <w:bidi/>
              <w:spacing w:after="80"/>
              <w:jc w:val="right"/>
            </w:pPr>
            <w:r>
              <w:rPr>
                <w:rFonts w:ascii="DejaVu Sans" w:hAnsi="DejaVu Sans" w:eastAsia="DejaVu Sans" w:cs="DejaVu Sans"/>
                <w:b/>
                <w:bCs/>
                <w:color w:val="1F4E5F"/>
                <w:sz w:val="22"/>
                <w:szCs w:val="22"/>
                <w:rtl/>
              </w:rPr>
              <w:t>🔎 مثال توضيحي</w:t>
            </w:r>
          </w:p>
          <w:p w14:paraId="0C54BC27">
            <w:pPr>
              <w:bidi/>
              <w:spacing w:after="0"/>
              <w:jc w:val="right"/>
            </w:pPr>
            <w:r>
              <w:rPr>
                <w:rFonts w:ascii="DejaVu Sans" w:hAnsi="DejaVu Sans" w:eastAsia="DejaVu Sans" w:cs="DejaVu Sans"/>
                <w:sz w:val="21"/>
                <w:szCs w:val="21"/>
                <w:rtl/>
              </w:rPr>
              <w:t>اختراع الشاشة اللمسية تقنياً يعود إلى عقود قبل ظهور الآيفون. لكن أبل لم "تخترع" اللمس؛ بل ابتكرت طريقة لدمج الشاشة اللمسية مع تصميم هاتف متكامل وتجربة استخدام سهلة، فحوّلت تقنية موجودة إلى منتج ناجح تجارياً وواسع الانتشار. هذا هو جوهر الفرق: الاختراع فكرة، والابتكار قيمة محقَّقة من تلك الفكرة.</w:t>
            </w:r>
          </w:p>
        </w:tc>
      </w:tr>
    </w:tbl>
    <w:p w14:paraId="2E15D3B8">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٢. أهمية الابتكار في الاقتصاد الرقمي</w:t>
      </w:r>
    </w:p>
    <w:p w14:paraId="43F45D67">
      <w:pPr>
        <w:bidi/>
        <w:spacing w:after="160" w:line="300" w:lineRule="auto"/>
        <w:jc w:val="right"/>
      </w:pPr>
      <w:r>
        <w:rPr>
          <w:rFonts w:ascii="DejaVu Sans" w:hAnsi="DejaVu Sans" w:eastAsia="DejaVu Sans" w:cs="DejaVu Sans"/>
          <w:b w:val="0"/>
          <w:bCs w:val="0"/>
          <w:i w:val="0"/>
          <w:iCs w:val="0"/>
          <w:sz w:val="22"/>
          <w:szCs w:val="22"/>
          <w:rtl/>
        </w:rPr>
        <w:t>في بيئة الاقتصاد الرقمي، لم يعد الابتكار خياراً تكميلياً بل شرط بقاء. وتتلخص أهميته في النقاط التالية، مع توضيح عملي لكل منها:</w:t>
      </w:r>
    </w:p>
    <w:p w14:paraId="417EA299">
      <w:pPr>
        <w:bidi/>
        <w:spacing w:after="160" w:line="300" w:lineRule="auto"/>
        <w:jc w:val="right"/>
      </w:pPr>
      <w:r>
        <w:rPr>
          <w:rFonts w:ascii="DejaVu Sans" w:hAnsi="DejaVu Sans" w:eastAsia="DejaVu Sans" w:cs="DejaVu Sans"/>
          <w:b/>
          <w:bCs/>
          <w:sz w:val="22"/>
          <w:szCs w:val="22"/>
          <w:rtl/>
        </w:rPr>
        <w:t xml:space="preserve">• رفع الإنتاجية والكفاءة: </w:t>
      </w:r>
      <w:r>
        <w:rPr>
          <w:rFonts w:ascii="DejaVu Sans" w:hAnsi="DejaVu Sans" w:eastAsia="DejaVu Sans" w:cs="DejaVu Sans"/>
          <w:b w:val="0"/>
          <w:bCs w:val="0"/>
          <w:sz w:val="22"/>
          <w:szCs w:val="22"/>
          <w:rtl/>
        </w:rPr>
        <w:t>أتمتة العمليات المصرفية بدل المعاملات الورقية تقلّل زمن إنجاز المعاملة من أيام إلى دقائق.</w:t>
      </w:r>
    </w:p>
    <w:p w14:paraId="72E8EE58">
      <w:pPr>
        <w:bidi/>
        <w:spacing w:after="160" w:line="300" w:lineRule="auto"/>
        <w:jc w:val="right"/>
      </w:pPr>
      <w:r>
        <w:rPr>
          <w:rFonts w:ascii="DejaVu Sans" w:hAnsi="DejaVu Sans" w:eastAsia="DejaVu Sans" w:cs="DejaVu Sans"/>
          <w:b/>
          <w:bCs/>
          <w:sz w:val="22"/>
          <w:szCs w:val="22"/>
          <w:rtl/>
        </w:rPr>
        <w:t xml:space="preserve">• خفض التكاليف والهدر: </w:t>
      </w:r>
      <w:r>
        <w:rPr>
          <w:rFonts w:ascii="DejaVu Sans" w:hAnsi="DejaVu Sans" w:eastAsia="DejaVu Sans" w:cs="DejaVu Sans"/>
          <w:b w:val="0"/>
          <w:bCs w:val="0"/>
          <w:sz w:val="22"/>
          <w:szCs w:val="22"/>
          <w:rtl/>
        </w:rPr>
        <w:t>التحول إلى الفوترة الإلكترونية يقلّل تكاليف الطباعة والتوزيع والتخزين.</w:t>
      </w:r>
    </w:p>
    <w:p w14:paraId="2331D2CA">
      <w:pPr>
        <w:bidi/>
        <w:spacing w:after="160" w:line="300" w:lineRule="auto"/>
        <w:jc w:val="right"/>
      </w:pPr>
      <w:r>
        <w:rPr>
          <w:rFonts w:ascii="DejaVu Sans" w:hAnsi="DejaVu Sans" w:eastAsia="DejaVu Sans" w:cs="DejaVu Sans"/>
          <w:b/>
          <w:bCs/>
          <w:sz w:val="22"/>
          <w:szCs w:val="22"/>
          <w:rtl/>
        </w:rPr>
        <w:t xml:space="preserve">• تحسين تجربة العملاء: </w:t>
      </w:r>
      <w:r>
        <w:rPr>
          <w:rFonts w:ascii="DejaVu Sans" w:hAnsi="DejaVu Sans" w:eastAsia="DejaVu Sans" w:cs="DejaVu Sans"/>
          <w:b w:val="0"/>
          <w:bCs w:val="0"/>
          <w:sz w:val="22"/>
          <w:szCs w:val="22"/>
          <w:rtl/>
        </w:rPr>
        <w:t>تطبيقات التوصيل التي تتيح تتبّع الطلب لحظياً ترفع رضا العميل رغم عدم تغيّر المنتج ذاته.</w:t>
      </w:r>
    </w:p>
    <w:p w14:paraId="78375CD3">
      <w:pPr>
        <w:bidi/>
        <w:spacing w:after="160" w:line="300" w:lineRule="auto"/>
        <w:jc w:val="right"/>
      </w:pPr>
      <w:r>
        <w:rPr>
          <w:rFonts w:ascii="DejaVu Sans" w:hAnsi="DejaVu Sans" w:eastAsia="DejaVu Sans" w:cs="DejaVu Sans"/>
          <w:b/>
          <w:bCs/>
          <w:sz w:val="22"/>
          <w:szCs w:val="22"/>
          <w:rtl/>
        </w:rPr>
        <w:t xml:space="preserve">• خلق أسواق ومنتجات جديدة: </w:t>
      </w:r>
      <w:r>
        <w:rPr>
          <w:rFonts w:ascii="DejaVu Sans" w:hAnsi="DejaVu Sans" w:eastAsia="DejaVu Sans" w:cs="DejaVu Sans"/>
          <w:b w:val="0"/>
          <w:bCs w:val="0"/>
          <w:sz w:val="22"/>
          <w:szCs w:val="22"/>
          <w:rtl/>
        </w:rPr>
        <w:t>ظهور خدمات التمويل الجماعي (Crowdfunding) خلق سوقاً لم تكن موجودة من قبل.</w:t>
      </w:r>
    </w:p>
    <w:p w14:paraId="79E69654">
      <w:pPr>
        <w:bidi/>
        <w:spacing w:after="160" w:line="300" w:lineRule="auto"/>
        <w:jc w:val="right"/>
      </w:pPr>
      <w:r>
        <w:rPr>
          <w:rFonts w:ascii="DejaVu Sans" w:hAnsi="DejaVu Sans" w:eastAsia="DejaVu Sans" w:cs="DejaVu Sans"/>
          <w:b/>
          <w:bCs/>
          <w:sz w:val="22"/>
          <w:szCs w:val="22"/>
          <w:rtl/>
        </w:rPr>
        <w:t xml:space="preserve">• تطوير نماذج الأعمال: </w:t>
      </w:r>
      <w:r>
        <w:rPr>
          <w:rFonts w:ascii="DejaVu Sans" w:hAnsi="DejaVu Sans" w:eastAsia="DejaVu Sans" w:cs="DejaVu Sans"/>
          <w:b w:val="0"/>
          <w:bCs w:val="0"/>
          <w:sz w:val="22"/>
          <w:szCs w:val="22"/>
          <w:rtl/>
        </w:rPr>
        <w:t>الانتقال من بيع الأقراص المدمجة إلى خدمات البث كنتفليكس وسبوتيفاي.</w:t>
      </w:r>
    </w:p>
    <w:p w14:paraId="35C7DEBD">
      <w:pPr>
        <w:bidi/>
        <w:spacing w:after="160" w:line="300" w:lineRule="auto"/>
        <w:jc w:val="right"/>
      </w:pPr>
      <w:r>
        <w:rPr>
          <w:rFonts w:ascii="DejaVu Sans" w:hAnsi="DejaVu Sans" w:eastAsia="DejaVu Sans" w:cs="DejaVu Sans"/>
          <w:b/>
          <w:bCs/>
          <w:sz w:val="22"/>
          <w:szCs w:val="22"/>
          <w:rtl/>
        </w:rPr>
        <w:t xml:space="preserve">• تعزيز الميزة التنافسية: </w:t>
      </w:r>
      <w:r>
        <w:rPr>
          <w:rFonts w:ascii="DejaVu Sans" w:hAnsi="DejaVu Sans" w:eastAsia="DejaVu Sans" w:cs="DejaVu Sans"/>
          <w:b w:val="0"/>
          <w:bCs w:val="0"/>
          <w:sz w:val="22"/>
          <w:szCs w:val="22"/>
          <w:rtl/>
        </w:rPr>
        <w:t>الشركة التي تطلق ميزة رقمية جديدة أولاً تكسب حصة سوقية قبل أن يلحق بها المنافسون.</w:t>
      </w:r>
    </w:p>
    <w:p w14:paraId="651D56F7">
      <w:pPr>
        <w:bidi/>
        <w:spacing w:after="160" w:line="300" w:lineRule="auto"/>
        <w:jc w:val="right"/>
      </w:pPr>
      <w:r>
        <w:rPr>
          <w:rFonts w:ascii="DejaVu Sans" w:hAnsi="DejaVu Sans" w:eastAsia="DejaVu Sans" w:cs="DejaVu Sans"/>
          <w:b/>
          <w:bCs/>
          <w:sz w:val="22"/>
          <w:szCs w:val="22"/>
          <w:rtl/>
        </w:rPr>
        <w:t xml:space="preserve">• دعم النمو والاستدامة المؤسسية: </w:t>
      </w:r>
      <w:r>
        <w:rPr>
          <w:rFonts w:ascii="DejaVu Sans" w:hAnsi="DejaVu Sans" w:eastAsia="DejaVu Sans" w:cs="DejaVu Sans"/>
          <w:b w:val="0"/>
          <w:bCs w:val="0"/>
          <w:sz w:val="22"/>
          <w:szCs w:val="22"/>
          <w:rtl/>
        </w:rPr>
        <w:t>المؤسسات التي تخصص جزءاً من مواردها للبحث والتطوير تحافظ على قدرتها التنافسية طويلة الأمد.</w:t>
      </w:r>
    </w:p>
    <w:p w14:paraId="61150C1B">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٣. شومبيتر والابتكار (الأساس النظري التاريخي)</w:t>
      </w:r>
    </w:p>
    <w:p w14:paraId="5AED2913">
      <w:pPr>
        <w:bidi/>
        <w:spacing w:after="160" w:line="300" w:lineRule="auto"/>
        <w:jc w:val="right"/>
      </w:pPr>
      <w:r>
        <w:rPr>
          <w:rFonts w:ascii="DejaVu Sans" w:hAnsi="DejaVu Sans" w:eastAsia="DejaVu Sans" w:cs="DejaVu Sans"/>
          <w:b w:val="0"/>
          <w:bCs w:val="0"/>
          <w:i w:val="0"/>
          <w:iCs w:val="0"/>
          <w:sz w:val="22"/>
          <w:szCs w:val="22"/>
          <w:rtl/>
        </w:rPr>
        <w:t>يُعد الاقتصادي النمساوي جوزيف شومبيتر (Joseph Schumpeter) الأب الفكري لنظرية الابتكار الاقتصادي. فقد ربط الابتكار بالتنمية الاقتصادية من خلال مفهومه الشهير "التدمير الخلاق" (Creative Destruction)، ومفاده أن الابتكارات الجديدة تُفني الصناعات والأساليب القديمة لتحل محلها بأساليب أكثر كفاءة، وبذلك يكون الدمار شرطاً ضرورياً للتقدم الاقتصادي.</w:t>
      </w:r>
    </w:p>
    <w:p w14:paraId="36B3FA7D">
      <w:pPr>
        <w:pStyle w:val="4"/>
        <w:bidi/>
        <w:spacing w:before="200" w:after="100"/>
        <w:jc w:val="right"/>
      </w:pPr>
      <w:r>
        <w:rPr>
          <w:rFonts w:ascii="DejaVu Sans" w:hAnsi="DejaVu Sans" w:eastAsia="DejaVu Sans" w:cs="DejaVu Sans"/>
          <w:b/>
          <w:bCs/>
          <w:color w:val="444444"/>
          <w:sz w:val="23"/>
          <w:szCs w:val="23"/>
          <w:rtl/>
        </w:rPr>
        <w:t>أشكال الابتكار الخمسة في فكر شومبيتر</w:t>
      </w:r>
    </w:p>
    <w:p w14:paraId="3CE1E7EA">
      <w:pPr>
        <w:pStyle w:val="16"/>
        <w:numPr>
          <w:ilvl w:val="0"/>
          <w:numId w:val="1"/>
        </w:numPr>
        <w:bidi/>
        <w:spacing w:after="100" w:line="290" w:lineRule="auto"/>
        <w:jc w:val="right"/>
      </w:pPr>
      <w:r>
        <w:rPr>
          <w:rFonts w:ascii="DejaVu Sans" w:hAnsi="DejaVu Sans" w:eastAsia="DejaVu Sans" w:cs="DejaVu Sans"/>
          <w:sz w:val="22"/>
          <w:szCs w:val="22"/>
          <w:rtl/>
        </w:rPr>
        <w:t>منتجات جديدة</w:t>
      </w:r>
    </w:p>
    <w:p w14:paraId="75FD58B7">
      <w:pPr>
        <w:pStyle w:val="16"/>
        <w:numPr>
          <w:ilvl w:val="0"/>
          <w:numId w:val="1"/>
        </w:numPr>
        <w:bidi/>
        <w:spacing w:after="100" w:line="290" w:lineRule="auto"/>
        <w:jc w:val="right"/>
      </w:pPr>
      <w:r>
        <w:rPr>
          <w:rFonts w:ascii="DejaVu Sans" w:hAnsi="DejaVu Sans" w:eastAsia="DejaVu Sans" w:cs="DejaVu Sans"/>
          <w:sz w:val="22"/>
          <w:szCs w:val="22"/>
          <w:rtl/>
        </w:rPr>
        <w:t>طرق إنتاج جديدة</w:t>
      </w:r>
    </w:p>
    <w:p w14:paraId="7E673FC8">
      <w:pPr>
        <w:pStyle w:val="16"/>
        <w:numPr>
          <w:ilvl w:val="0"/>
          <w:numId w:val="1"/>
        </w:numPr>
        <w:bidi/>
        <w:spacing w:after="100" w:line="290" w:lineRule="auto"/>
        <w:jc w:val="right"/>
      </w:pPr>
      <w:r>
        <w:rPr>
          <w:rFonts w:ascii="DejaVu Sans" w:hAnsi="DejaVu Sans" w:eastAsia="DejaVu Sans" w:cs="DejaVu Sans"/>
          <w:sz w:val="22"/>
          <w:szCs w:val="22"/>
          <w:rtl/>
        </w:rPr>
        <w:t>أسواق جديدة</w:t>
      </w:r>
    </w:p>
    <w:p w14:paraId="71CEF506">
      <w:pPr>
        <w:pStyle w:val="16"/>
        <w:numPr>
          <w:ilvl w:val="0"/>
          <w:numId w:val="1"/>
        </w:numPr>
        <w:bidi/>
        <w:spacing w:after="100" w:line="290" w:lineRule="auto"/>
        <w:jc w:val="right"/>
      </w:pPr>
      <w:r>
        <w:rPr>
          <w:rFonts w:ascii="DejaVu Sans" w:hAnsi="DejaVu Sans" w:eastAsia="DejaVu Sans" w:cs="DejaVu Sans"/>
          <w:sz w:val="22"/>
          <w:szCs w:val="22"/>
          <w:rtl/>
        </w:rPr>
        <w:t>مصادر جديدة للموارد</w:t>
      </w:r>
    </w:p>
    <w:p w14:paraId="120778F4">
      <w:pPr>
        <w:pStyle w:val="16"/>
        <w:numPr>
          <w:ilvl w:val="0"/>
          <w:numId w:val="1"/>
        </w:numPr>
        <w:bidi/>
        <w:spacing w:after="100" w:line="290" w:lineRule="auto"/>
        <w:jc w:val="right"/>
      </w:pPr>
      <w:r>
        <w:rPr>
          <w:rFonts w:ascii="DejaVu Sans" w:hAnsi="DejaVu Sans" w:eastAsia="DejaVu Sans" w:cs="DejaVu Sans"/>
          <w:sz w:val="22"/>
          <w:szCs w:val="22"/>
          <w:rtl/>
        </w:rPr>
        <w:t>أشكال تنظيمية جديدة</w:t>
      </w:r>
    </w:p>
    <w:tbl>
      <w:tblPr>
        <w:tblStyle w:val="9"/>
        <w:bidiVisual/>
        <w:tblW w:w="9700" w:type="dxa"/>
        <w:tblInd w:w="0" w:type="dxa"/>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Layout w:type="autofit"/>
        <w:tblCellMar>
          <w:top w:w="0" w:type="dxa"/>
          <w:left w:w="10" w:type="dxa"/>
          <w:bottom w:w="0" w:type="dxa"/>
          <w:right w:w="10" w:type="dxa"/>
        </w:tblCellMar>
      </w:tblPr>
      <w:tblGrid>
        <w:gridCol w:w="9700"/>
      </w:tblGrid>
      <w:tr w14:paraId="573D7018">
        <w:tblPrEx>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PrEx>
        <w:tc>
          <w:tcPr>
            <w:tcW w:w="9700" w:type="dxa"/>
            <w:shd w:val="clear" w:color="auto" w:fill="EAF2F8"/>
            <w:tcMar>
              <w:top w:w="150" w:type="dxa"/>
              <w:left w:w="200" w:type="dxa"/>
              <w:bottom w:w="150" w:type="dxa"/>
              <w:right w:w="200" w:type="dxa"/>
            </w:tcMar>
          </w:tcPr>
          <w:p w14:paraId="0F5E26B9">
            <w:pPr>
              <w:bidi/>
              <w:spacing w:after="80"/>
              <w:jc w:val="right"/>
            </w:pPr>
            <w:r>
              <w:rPr>
                <w:rFonts w:ascii="DejaVu Sans" w:hAnsi="DejaVu Sans" w:eastAsia="DejaVu Sans" w:cs="DejaVu Sans"/>
                <w:b/>
                <w:bCs/>
                <w:color w:val="1F4E5F"/>
                <w:sz w:val="22"/>
                <w:szCs w:val="22"/>
                <w:rtl/>
              </w:rPr>
              <w:t>🔎 مثال توضيحي على التدمير الخلاق</w:t>
            </w:r>
          </w:p>
          <w:p w14:paraId="455DC939">
            <w:pPr>
              <w:bidi/>
              <w:spacing w:after="0"/>
              <w:jc w:val="right"/>
            </w:pPr>
            <w:r>
              <w:rPr>
                <w:rFonts w:ascii="DejaVu Sans" w:hAnsi="DejaVu Sans" w:eastAsia="DejaVu Sans" w:cs="DejaVu Sans"/>
                <w:sz w:val="21"/>
                <w:szCs w:val="21"/>
                <w:rtl/>
              </w:rPr>
              <w:t>شركة نوكيا كانت تهيمن على سوق الهواتف المحمولة، لكن ابتكار الهاتف الذكي القائم على نظام تشغيل متكامل ومتجر تطبيقات (آيفون ثم أندرويد) "دمّر" نموذج أعمال نوكيا القديم القائم على الهاردوير فقط، وأعاد تشكيل الصناعة بالكامل حول البرمجيات والخدمات. هذا مثال حي على أن الابتكار "يعيد تشكيل المنافسة والهيكل الاقتصادي" كما تختم الشريحة.</w:t>
            </w:r>
          </w:p>
        </w:tc>
      </w:tr>
    </w:tbl>
    <w:p w14:paraId="17C9B8A9">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٤. منظور استراتيجي للابتكار</w:t>
      </w:r>
    </w:p>
    <w:p w14:paraId="13323468">
      <w:pPr>
        <w:bidi/>
        <w:spacing w:after="160" w:line="300" w:lineRule="auto"/>
        <w:jc w:val="right"/>
      </w:pPr>
      <w:r>
        <w:rPr>
          <w:rFonts w:ascii="DejaVu Sans" w:hAnsi="DejaVu Sans" w:eastAsia="DejaVu Sans" w:cs="DejaVu Sans"/>
          <w:b w:val="0"/>
          <w:bCs w:val="0"/>
          <w:i w:val="0"/>
          <w:iCs w:val="0"/>
          <w:sz w:val="22"/>
          <w:szCs w:val="22"/>
          <w:rtl/>
        </w:rPr>
        <w:t>الرسالة المحورية هنا أن الابتكار ليس وظيفة منعزلة تُناط بقسم البحث والتطوير وحده، بل قدرة استراتيجية تتقاطع مع كل وظائف المؤسسة:</w:t>
      </w:r>
    </w:p>
    <w:p w14:paraId="2D93FDB8">
      <w:pPr>
        <w:pStyle w:val="16"/>
        <w:numPr>
          <w:ilvl w:val="0"/>
          <w:numId w:val="1"/>
        </w:numPr>
        <w:bidi/>
        <w:spacing w:after="100" w:line="290" w:lineRule="auto"/>
        <w:jc w:val="right"/>
      </w:pPr>
      <w:r>
        <w:rPr>
          <w:rFonts w:ascii="DejaVu Sans" w:hAnsi="DejaVu Sans" w:eastAsia="DejaVu Sans" w:cs="DejaVu Sans"/>
          <w:sz w:val="22"/>
          <w:szCs w:val="22"/>
          <w:rtl/>
        </w:rPr>
        <w:t>الاستراتيجية</w:t>
      </w:r>
    </w:p>
    <w:p w14:paraId="1EF49961">
      <w:pPr>
        <w:pStyle w:val="16"/>
        <w:numPr>
          <w:ilvl w:val="0"/>
          <w:numId w:val="1"/>
        </w:numPr>
        <w:bidi/>
        <w:spacing w:after="100" w:line="290" w:lineRule="auto"/>
        <w:jc w:val="right"/>
      </w:pPr>
      <w:r>
        <w:rPr>
          <w:rFonts w:ascii="DejaVu Sans" w:hAnsi="DejaVu Sans" w:eastAsia="DejaVu Sans" w:cs="DejaVu Sans"/>
          <w:sz w:val="22"/>
          <w:szCs w:val="22"/>
          <w:rtl/>
        </w:rPr>
        <w:t>الموارد البشرية</w:t>
      </w:r>
    </w:p>
    <w:p w14:paraId="32918F44">
      <w:pPr>
        <w:pStyle w:val="16"/>
        <w:numPr>
          <w:ilvl w:val="0"/>
          <w:numId w:val="1"/>
        </w:numPr>
        <w:bidi/>
        <w:spacing w:after="100" w:line="290" w:lineRule="auto"/>
        <w:jc w:val="right"/>
      </w:pPr>
      <w:r>
        <w:rPr>
          <w:rFonts w:ascii="DejaVu Sans" w:hAnsi="DejaVu Sans" w:eastAsia="DejaVu Sans" w:cs="DejaVu Sans"/>
          <w:sz w:val="22"/>
          <w:szCs w:val="22"/>
          <w:rtl/>
        </w:rPr>
        <w:t>التكنولوجيا</w:t>
      </w:r>
    </w:p>
    <w:p w14:paraId="62987973">
      <w:pPr>
        <w:pStyle w:val="16"/>
        <w:numPr>
          <w:ilvl w:val="0"/>
          <w:numId w:val="1"/>
        </w:numPr>
        <w:bidi/>
        <w:spacing w:after="100" w:line="290" w:lineRule="auto"/>
        <w:jc w:val="right"/>
      </w:pPr>
      <w:r>
        <w:rPr>
          <w:rFonts w:ascii="DejaVu Sans" w:hAnsi="DejaVu Sans" w:eastAsia="DejaVu Sans" w:cs="DejaVu Sans"/>
          <w:sz w:val="22"/>
          <w:szCs w:val="22"/>
          <w:rtl/>
        </w:rPr>
        <w:t>المعرفة والبيانات</w:t>
      </w:r>
    </w:p>
    <w:p w14:paraId="026ADA29">
      <w:pPr>
        <w:pStyle w:val="16"/>
        <w:numPr>
          <w:ilvl w:val="0"/>
          <w:numId w:val="1"/>
        </w:numPr>
        <w:bidi/>
        <w:spacing w:after="100" w:line="290" w:lineRule="auto"/>
        <w:jc w:val="right"/>
      </w:pPr>
      <w:r>
        <w:rPr>
          <w:rFonts w:ascii="DejaVu Sans" w:hAnsi="DejaVu Sans" w:eastAsia="DejaVu Sans" w:cs="DejaVu Sans"/>
          <w:sz w:val="22"/>
          <w:szCs w:val="22"/>
          <w:rtl/>
        </w:rPr>
        <w:t>التمويل</w:t>
      </w:r>
    </w:p>
    <w:p w14:paraId="7CE9206D">
      <w:pPr>
        <w:pStyle w:val="16"/>
        <w:numPr>
          <w:ilvl w:val="0"/>
          <w:numId w:val="1"/>
        </w:numPr>
        <w:bidi/>
        <w:spacing w:after="100" w:line="290" w:lineRule="auto"/>
        <w:jc w:val="right"/>
      </w:pPr>
      <w:r>
        <w:rPr>
          <w:rFonts w:ascii="DejaVu Sans" w:hAnsi="DejaVu Sans" w:eastAsia="DejaVu Sans" w:cs="DejaVu Sans"/>
          <w:sz w:val="22"/>
          <w:szCs w:val="22"/>
          <w:rtl/>
        </w:rPr>
        <w:t>التسويق</w:t>
      </w:r>
    </w:p>
    <w:p w14:paraId="59528C4F">
      <w:pPr>
        <w:pStyle w:val="16"/>
        <w:numPr>
          <w:ilvl w:val="0"/>
          <w:numId w:val="1"/>
        </w:numPr>
        <w:bidi/>
        <w:spacing w:after="100" w:line="290" w:lineRule="auto"/>
        <w:jc w:val="right"/>
      </w:pPr>
      <w:r>
        <w:rPr>
          <w:rFonts w:ascii="DejaVu Sans" w:hAnsi="DejaVu Sans" w:eastAsia="DejaVu Sans" w:cs="DejaVu Sans"/>
          <w:sz w:val="22"/>
          <w:szCs w:val="22"/>
          <w:rtl/>
        </w:rPr>
        <w:t>إدارة المشاريع</w:t>
      </w:r>
    </w:p>
    <w:p w14:paraId="41692C73">
      <w:pPr>
        <w:bidi/>
        <w:spacing w:after="160" w:line="300" w:lineRule="auto"/>
        <w:jc w:val="right"/>
      </w:pPr>
      <w:r>
        <w:rPr>
          <w:rFonts w:ascii="DejaVu Sans" w:hAnsi="DejaVu Sans" w:eastAsia="DejaVu Sans" w:cs="DejaVu Sans"/>
          <w:b w:val="0"/>
          <w:bCs w:val="0"/>
          <w:i w:val="0"/>
          <w:iCs w:val="0"/>
          <w:sz w:val="22"/>
          <w:szCs w:val="22"/>
          <w:rtl/>
        </w:rPr>
        <w:t>والهدف النهائي من هذا التكامل هو تحويل المعرفة إلى قيمة مستدامة، أي أن الابتكار المعزول عن الاستراتيجية أو التمويل أو التسويق يبقى فكرة جيدة دون أثر فعلي في السوق.</w:t>
      </w:r>
    </w:p>
    <w:tbl>
      <w:tblPr>
        <w:tblStyle w:val="9"/>
        <w:bidiVisual/>
        <w:tblW w:w="9700" w:type="dxa"/>
        <w:tblInd w:w="0" w:type="dxa"/>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Layout w:type="autofit"/>
        <w:tblCellMar>
          <w:top w:w="0" w:type="dxa"/>
          <w:left w:w="10" w:type="dxa"/>
          <w:bottom w:w="0" w:type="dxa"/>
          <w:right w:w="10" w:type="dxa"/>
        </w:tblCellMar>
      </w:tblPr>
      <w:tblGrid>
        <w:gridCol w:w="9700"/>
      </w:tblGrid>
      <w:tr w14:paraId="3AFFA7BF">
        <w:tblPrEx>
          <w:tblCellMar>
            <w:top w:w="0" w:type="dxa"/>
            <w:left w:w="10" w:type="dxa"/>
            <w:bottom w:w="0" w:type="dxa"/>
            <w:right w:w="10" w:type="dxa"/>
          </w:tblCellMar>
        </w:tblPrEx>
        <w:tc>
          <w:tcPr>
            <w:tcW w:w="9700" w:type="dxa"/>
            <w:shd w:val="clear" w:color="auto" w:fill="EAF2F8"/>
            <w:tcMar>
              <w:top w:w="150" w:type="dxa"/>
              <w:left w:w="200" w:type="dxa"/>
              <w:bottom w:w="150" w:type="dxa"/>
              <w:right w:w="200" w:type="dxa"/>
            </w:tcMar>
          </w:tcPr>
          <w:p w14:paraId="731D13AB">
            <w:pPr>
              <w:bidi/>
              <w:spacing w:after="80"/>
              <w:jc w:val="right"/>
            </w:pPr>
            <w:r>
              <w:rPr>
                <w:rFonts w:ascii="DejaVu Sans" w:hAnsi="DejaVu Sans" w:eastAsia="DejaVu Sans" w:cs="DejaVu Sans"/>
                <w:b/>
                <w:bCs/>
                <w:color w:val="1F4E5F"/>
                <w:sz w:val="22"/>
                <w:szCs w:val="22"/>
                <w:rtl/>
              </w:rPr>
              <w:t>🔎 مثال توضيحي</w:t>
            </w:r>
          </w:p>
          <w:p w14:paraId="0A333C55">
            <w:pPr>
              <w:bidi/>
              <w:spacing w:after="0"/>
              <w:jc w:val="right"/>
            </w:pPr>
            <w:r>
              <w:rPr>
                <w:rFonts w:ascii="DejaVu Sans" w:hAnsi="DejaVu Sans" w:eastAsia="DejaVu Sans" w:cs="DejaVu Sans"/>
                <w:sz w:val="21"/>
                <w:szCs w:val="21"/>
                <w:rtl/>
              </w:rPr>
              <w:t>شركة قد تملك فريق بحث وتطوير ممتازاً يبتكر منتجاً رائعاً، لكن إن لم يتكامل ذلك مع التسويق (لإيصاله للعميل) والتمويل (لدعم الإنتاج) والموارد البشرية (لتدريب الموظفين على المنتج الجديد)، يبقى الابتكار حبيس المختبر. لهذا تربط شركات مثل أمازون وجوجل الابتكار مباشرة برؤيتها الاستراتيجية الكلية وليس بوحدة منفصلة.</w:t>
            </w:r>
          </w:p>
        </w:tc>
      </w:tr>
    </w:tbl>
    <w:p w14:paraId="5871D7D7">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٥. تصنيف الابتكار</w:t>
      </w:r>
    </w:p>
    <w:p w14:paraId="40F777F1">
      <w:pPr>
        <w:bidi/>
        <w:spacing w:after="160" w:line="300" w:lineRule="auto"/>
        <w:jc w:val="right"/>
      </w:pPr>
      <w:r>
        <w:rPr>
          <w:rFonts w:ascii="DejaVu Sans" w:hAnsi="DejaVu Sans" w:eastAsia="DejaVu Sans" w:cs="DejaVu Sans"/>
          <w:b w:val="0"/>
          <w:bCs w:val="0"/>
          <w:i w:val="0"/>
          <w:iCs w:val="0"/>
          <w:sz w:val="22"/>
          <w:szCs w:val="22"/>
          <w:rtl/>
        </w:rPr>
        <w:t>قبل الدخول في تفاصيل كل نموذج، تضع المحاضرة خريطة تصنيفية شاملة يمكن أن يُصنَّف الابتكار وفقها من أربع زوايا مختلفة، وهذا التصنيف هو ما يبني عليه بقية المحاضرة:</w:t>
      </w:r>
    </w:p>
    <w:tbl>
      <w:tblPr>
        <w:tblStyle w:val="9"/>
        <w:bidiVisual/>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1C789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4E5F"/>
            <w:tcMar>
              <w:top w:w="100" w:type="dxa"/>
              <w:left w:w="120" w:type="dxa"/>
              <w:bottom w:w="100" w:type="dxa"/>
              <w:right w:w="120" w:type="dxa"/>
            </w:tcMar>
          </w:tcPr>
          <w:p w14:paraId="3FC7F2CE">
            <w:pPr>
              <w:bidi/>
              <w:jc w:val="center"/>
            </w:pPr>
            <w:r>
              <w:rPr>
                <w:rFonts w:ascii="DejaVu Sans" w:hAnsi="DejaVu Sans" w:eastAsia="DejaVu Sans" w:cs="DejaVu Sans"/>
                <w:b/>
                <w:bCs/>
                <w:color w:val="FFFFFF"/>
                <w:sz w:val="21"/>
                <w:szCs w:val="21"/>
                <w:rtl/>
              </w:rPr>
              <w:t>معيار التصنيف</w:t>
            </w:r>
          </w:p>
        </w:tc>
        <w:tc>
          <w:tcPr>
            <w:tcW w:w="4500" w:type="dxa"/>
            <w:shd w:val="clear" w:color="auto" w:fill="1F4E5F"/>
            <w:tcMar>
              <w:top w:w="100" w:type="dxa"/>
              <w:left w:w="120" w:type="dxa"/>
              <w:bottom w:w="100" w:type="dxa"/>
              <w:right w:w="120" w:type="dxa"/>
            </w:tcMar>
          </w:tcPr>
          <w:p w14:paraId="2875DF04">
            <w:pPr>
              <w:bidi/>
              <w:jc w:val="center"/>
            </w:pPr>
            <w:r>
              <w:rPr>
                <w:rFonts w:ascii="DejaVu Sans" w:hAnsi="DejaVu Sans" w:eastAsia="DejaVu Sans" w:cs="DejaVu Sans"/>
                <w:b/>
                <w:bCs/>
                <w:color w:val="FFFFFF"/>
                <w:sz w:val="21"/>
                <w:szCs w:val="21"/>
                <w:rtl/>
              </w:rPr>
              <w:t>الأنواع</w:t>
            </w:r>
          </w:p>
        </w:tc>
      </w:tr>
      <w:tr w14:paraId="67AEB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100" w:type="dxa"/>
              <w:left w:w="120" w:type="dxa"/>
              <w:bottom w:w="100" w:type="dxa"/>
              <w:right w:w="120" w:type="dxa"/>
            </w:tcMar>
          </w:tcPr>
          <w:p w14:paraId="44163BE9">
            <w:pPr>
              <w:bidi/>
              <w:jc w:val="right"/>
            </w:pPr>
            <w:r>
              <w:rPr>
                <w:rFonts w:ascii="DejaVu Sans" w:hAnsi="DejaVu Sans" w:eastAsia="DejaVu Sans" w:cs="DejaVu Sans"/>
                <w:sz w:val="21"/>
                <w:szCs w:val="21"/>
                <w:rtl/>
              </w:rPr>
              <w:t>درجة الجدة</w:t>
            </w:r>
          </w:p>
        </w:tc>
        <w:tc>
          <w:tcPr>
            <w:tcW w:w="4500" w:type="dxa"/>
            <w:shd w:val="clear" w:color="auto" w:fill="FFFFFF"/>
            <w:tcMar>
              <w:top w:w="100" w:type="dxa"/>
              <w:left w:w="120" w:type="dxa"/>
              <w:bottom w:w="100" w:type="dxa"/>
              <w:right w:w="120" w:type="dxa"/>
            </w:tcMar>
          </w:tcPr>
          <w:p w14:paraId="2663DA31">
            <w:pPr>
              <w:bidi/>
              <w:jc w:val="right"/>
            </w:pPr>
            <w:r>
              <w:rPr>
                <w:rFonts w:ascii="DejaVu Sans" w:hAnsi="DejaVu Sans" w:eastAsia="DejaVu Sans" w:cs="DejaVu Sans"/>
                <w:sz w:val="21"/>
                <w:szCs w:val="21"/>
                <w:rtl/>
              </w:rPr>
              <w:t>جذري (Radical)  /  تدريجي (Incremental)</w:t>
            </w:r>
          </w:p>
        </w:tc>
      </w:tr>
      <w:tr w14:paraId="76963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7FB"/>
            <w:tcMar>
              <w:top w:w="100" w:type="dxa"/>
              <w:left w:w="120" w:type="dxa"/>
              <w:bottom w:w="100" w:type="dxa"/>
              <w:right w:w="120" w:type="dxa"/>
            </w:tcMar>
          </w:tcPr>
          <w:p w14:paraId="4F73F2B2">
            <w:pPr>
              <w:bidi/>
              <w:jc w:val="right"/>
            </w:pPr>
            <w:r>
              <w:rPr>
                <w:rFonts w:ascii="DejaVu Sans" w:hAnsi="DejaVu Sans" w:eastAsia="DejaVu Sans" w:cs="DejaVu Sans"/>
                <w:sz w:val="21"/>
                <w:szCs w:val="21"/>
                <w:rtl/>
              </w:rPr>
              <w:t>مصدر المعرفة</w:t>
            </w:r>
          </w:p>
        </w:tc>
        <w:tc>
          <w:tcPr>
            <w:tcW w:w="4500" w:type="dxa"/>
            <w:shd w:val="clear" w:color="auto" w:fill="F2F7FB"/>
            <w:tcMar>
              <w:top w:w="100" w:type="dxa"/>
              <w:left w:w="120" w:type="dxa"/>
              <w:bottom w:w="100" w:type="dxa"/>
              <w:right w:w="120" w:type="dxa"/>
            </w:tcMar>
          </w:tcPr>
          <w:p w14:paraId="0D184FDD">
            <w:pPr>
              <w:bidi/>
              <w:jc w:val="right"/>
            </w:pPr>
            <w:r>
              <w:rPr>
                <w:rFonts w:ascii="DejaVu Sans" w:hAnsi="DejaVu Sans" w:eastAsia="DejaVu Sans" w:cs="DejaVu Sans"/>
                <w:sz w:val="21"/>
                <w:szCs w:val="21"/>
                <w:rtl/>
              </w:rPr>
              <w:t>مغلق (داخل المؤسسة)  /  مفتوح (Open Innovation)</w:t>
            </w:r>
          </w:p>
        </w:tc>
      </w:tr>
      <w:tr w14:paraId="0AD9C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100" w:type="dxa"/>
              <w:left w:w="120" w:type="dxa"/>
              <w:bottom w:w="100" w:type="dxa"/>
              <w:right w:w="120" w:type="dxa"/>
            </w:tcMar>
          </w:tcPr>
          <w:p w14:paraId="64F97674">
            <w:pPr>
              <w:bidi/>
              <w:jc w:val="right"/>
            </w:pPr>
            <w:r>
              <w:rPr>
                <w:rFonts w:ascii="DejaVu Sans" w:hAnsi="DejaVu Sans" w:eastAsia="DejaVu Sans" w:cs="DejaVu Sans"/>
                <w:sz w:val="21"/>
                <w:szCs w:val="21"/>
                <w:rtl/>
              </w:rPr>
              <w:t>مجال التغيير</w:t>
            </w:r>
          </w:p>
        </w:tc>
        <w:tc>
          <w:tcPr>
            <w:tcW w:w="4500" w:type="dxa"/>
            <w:shd w:val="clear" w:color="auto" w:fill="FFFFFF"/>
            <w:tcMar>
              <w:top w:w="100" w:type="dxa"/>
              <w:left w:w="120" w:type="dxa"/>
              <w:bottom w:w="100" w:type="dxa"/>
              <w:right w:w="120" w:type="dxa"/>
            </w:tcMar>
          </w:tcPr>
          <w:p w14:paraId="66F76487">
            <w:pPr>
              <w:bidi/>
              <w:jc w:val="right"/>
            </w:pPr>
            <w:r>
              <w:rPr>
                <w:rFonts w:ascii="DejaVu Sans" w:hAnsi="DejaVu Sans" w:eastAsia="DejaVu Sans" w:cs="DejaVu Sans"/>
                <w:sz w:val="21"/>
                <w:szCs w:val="21"/>
                <w:rtl/>
              </w:rPr>
              <w:t>منتج  /  خدمة  /  عملية  /  نموذج أعمال</w:t>
            </w:r>
          </w:p>
        </w:tc>
      </w:tr>
      <w:tr w14:paraId="332A2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7FB"/>
            <w:tcMar>
              <w:top w:w="100" w:type="dxa"/>
              <w:left w:w="120" w:type="dxa"/>
              <w:bottom w:w="100" w:type="dxa"/>
              <w:right w:w="120" w:type="dxa"/>
            </w:tcMar>
          </w:tcPr>
          <w:p w14:paraId="1BEBA414">
            <w:pPr>
              <w:bidi/>
              <w:jc w:val="right"/>
            </w:pPr>
            <w:r>
              <w:rPr>
                <w:rFonts w:ascii="DejaVu Sans" w:hAnsi="DejaVu Sans" w:eastAsia="DejaVu Sans" w:cs="DejaVu Sans"/>
                <w:sz w:val="21"/>
                <w:szCs w:val="21"/>
                <w:rtl/>
              </w:rPr>
              <w:t>نمط الإدارة</w:t>
            </w:r>
          </w:p>
        </w:tc>
        <w:tc>
          <w:tcPr>
            <w:tcW w:w="4500" w:type="dxa"/>
            <w:shd w:val="clear" w:color="auto" w:fill="F2F7FB"/>
            <w:tcMar>
              <w:top w:w="100" w:type="dxa"/>
              <w:left w:w="120" w:type="dxa"/>
              <w:bottom w:w="100" w:type="dxa"/>
              <w:right w:w="120" w:type="dxa"/>
            </w:tcMar>
          </w:tcPr>
          <w:p w14:paraId="676E4F13">
            <w:pPr>
              <w:bidi/>
              <w:jc w:val="right"/>
            </w:pPr>
            <w:r>
              <w:rPr>
                <w:rFonts w:ascii="DejaVu Sans" w:hAnsi="DejaVu Sans" w:eastAsia="DejaVu Sans" w:cs="DejaVu Sans"/>
                <w:sz w:val="21"/>
                <w:szCs w:val="21"/>
                <w:rtl/>
              </w:rPr>
              <w:t>مشروع منفرد (لمرة واحدة)  /  ابتكار مستمر (قدرة دائمة)</w:t>
            </w:r>
          </w:p>
        </w:tc>
      </w:tr>
    </w:tbl>
    <w:p w14:paraId="2C9905DB">
      <w:pPr>
        <w:spacing w:after="60"/>
      </w:pPr>
    </w:p>
    <w:p w14:paraId="4E40D813">
      <w:pPr>
        <w:bidi/>
        <w:spacing w:after="160" w:line="300" w:lineRule="auto"/>
        <w:jc w:val="right"/>
      </w:pPr>
      <w:r>
        <w:rPr>
          <w:rFonts w:ascii="DejaVu Sans" w:hAnsi="DejaVu Sans" w:eastAsia="DejaVu Sans" w:cs="DejaVu Sans"/>
          <w:b w:val="0"/>
          <w:bCs w:val="0"/>
          <w:i w:val="0"/>
          <w:iCs w:val="0"/>
          <w:sz w:val="22"/>
          <w:szCs w:val="22"/>
          <w:rtl/>
        </w:rPr>
        <w:t>لاحظ أن هذه الأبعاد الأربعة ليست متعارضة بل متقاطعة؛ فابتكار واحد (مثل تطبيق مصرفي جديد) قد يكون في آن واحد: تدريجياً من حيث الدرجة، مفتوحاً من حيث المصدر (بالشراكة مع شركة تقنية مالية)، خاصاً بالخدمة من حيث المجال، ومستمراً من حيث نمط الإدارة.</w:t>
      </w:r>
    </w:p>
    <w:p w14:paraId="3428BD40">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٦. الابتكار الجذري (Radical Innovation)</w:t>
      </w:r>
    </w:p>
    <w:p w14:paraId="6BC0AC39">
      <w:pPr>
        <w:bidi/>
        <w:spacing w:after="160" w:line="300" w:lineRule="auto"/>
        <w:jc w:val="right"/>
      </w:pPr>
      <w:r>
        <w:rPr>
          <w:rFonts w:ascii="DejaVu Sans" w:hAnsi="DejaVu Sans" w:eastAsia="DejaVu Sans" w:cs="DejaVu Sans"/>
          <w:b w:val="0"/>
          <w:bCs w:val="0"/>
          <w:i w:val="0"/>
          <w:iCs w:val="0"/>
          <w:sz w:val="22"/>
          <w:szCs w:val="22"/>
          <w:rtl/>
        </w:rPr>
        <w:t>هو ابتكار يُحدث تغييراً جوهرياً في التكنولوجيا أو المنتج أو الخدمة أو نموذج الأعمال، وقد يخلق سوقاً جديدة بالكامل أو يغيّر قواعد المنافسة القائمة.</w:t>
      </w:r>
    </w:p>
    <w:p w14:paraId="4A249714">
      <w:pPr>
        <w:pStyle w:val="4"/>
        <w:bidi/>
        <w:spacing w:before="200" w:after="100"/>
        <w:jc w:val="right"/>
      </w:pPr>
      <w:r>
        <w:rPr>
          <w:rFonts w:ascii="DejaVu Sans" w:hAnsi="DejaVu Sans" w:eastAsia="DejaVu Sans" w:cs="DejaVu Sans"/>
          <w:b/>
          <w:bCs/>
          <w:color w:val="444444"/>
          <w:sz w:val="23"/>
          <w:szCs w:val="23"/>
          <w:rtl/>
        </w:rPr>
        <w:t>خصائصه</w:t>
      </w:r>
    </w:p>
    <w:p w14:paraId="429BD3C9">
      <w:pPr>
        <w:pStyle w:val="16"/>
        <w:numPr>
          <w:ilvl w:val="0"/>
          <w:numId w:val="1"/>
        </w:numPr>
        <w:bidi/>
        <w:spacing w:after="100" w:line="290" w:lineRule="auto"/>
        <w:jc w:val="right"/>
      </w:pPr>
      <w:r>
        <w:rPr>
          <w:rFonts w:ascii="DejaVu Sans" w:hAnsi="DejaVu Sans" w:eastAsia="DejaVu Sans" w:cs="DejaVu Sans"/>
          <w:sz w:val="22"/>
          <w:szCs w:val="22"/>
          <w:rtl/>
        </w:rPr>
        <w:t>درجة جدة مرتفعة جداً مقارنة بما هو سائد</w:t>
      </w:r>
    </w:p>
    <w:p w14:paraId="3FE28BB5">
      <w:pPr>
        <w:pStyle w:val="16"/>
        <w:numPr>
          <w:ilvl w:val="0"/>
          <w:numId w:val="1"/>
        </w:numPr>
        <w:bidi/>
        <w:spacing w:after="100" w:line="290" w:lineRule="auto"/>
        <w:jc w:val="right"/>
      </w:pPr>
      <w:r>
        <w:rPr>
          <w:rFonts w:ascii="DejaVu Sans" w:hAnsi="DejaVu Sans" w:eastAsia="DejaVu Sans" w:cs="DejaVu Sans"/>
          <w:sz w:val="22"/>
          <w:szCs w:val="22"/>
          <w:rtl/>
        </w:rPr>
        <w:t>مخاطرة وعدم يقين أعلى (لا تُعرف نتيجته مسبقاً)</w:t>
      </w:r>
    </w:p>
    <w:p w14:paraId="46AEC0F7">
      <w:pPr>
        <w:pStyle w:val="16"/>
        <w:numPr>
          <w:ilvl w:val="0"/>
          <w:numId w:val="1"/>
        </w:numPr>
        <w:bidi/>
        <w:spacing w:after="100" w:line="290" w:lineRule="auto"/>
        <w:jc w:val="right"/>
      </w:pPr>
      <w:r>
        <w:rPr>
          <w:rFonts w:ascii="DejaVu Sans" w:hAnsi="DejaVu Sans" w:eastAsia="DejaVu Sans" w:cs="DejaVu Sans"/>
          <w:sz w:val="22"/>
          <w:szCs w:val="22"/>
          <w:rtl/>
        </w:rPr>
        <w:t>حاجة إلى معرفة واستثمارات جديدة قد لا تملكها المؤسسة أصلاً</w:t>
      </w:r>
    </w:p>
    <w:p w14:paraId="3F1761EB">
      <w:pPr>
        <w:pStyle w:val="16"/>
        <w:numPr>
          <w:ilvl w:val="0"/>
          <w:numId w:val="1"/>
        </w:numPr>
        <w:bidi/>
        <w:spacing w:after="100" w:line="290" w:lineRule="auto"/>
        <w:jc w:val="right"/>
      </w:pPr>
      <w:r>
        <w:rPr>
          <w:rFonts w:ascii="DejaVu Sans" w:hAnsi="DejaVu Sans" w:eastAsia="DejaVu Sans" w:cs="DejaVu Sans"/>
          <w:sz w:val="22"/>
          <w:szCs w:val="22"/>
          <w:rtl/>
        </w:rPr>
        <w:t>إمكانية إحداث تحوّل شامل في الصناعة بأكملها</w:t>
      </w:r>
    </w:p>
    <w:p w14:paraId="222C1DFE">
      <w:pPr>
        <w:pStyle w:val="4"/>
        <w:bidi/>
        <w:spacing w:before="200" w:after="100"/>
        <w:jc w:val="right"/>
      </w:pPr>
      <w:r>
        <w:rPr>
          <w:rFonts w:ascii="DejaVu Sans" w:hAnsi="DejaVu Sans" w:eastAsia="DejaVu Sans" w:cs="DejaVu Sans"/>
          <w:b/>
          <w:bCs/>
          <w:color w:val="444444"/>
          <w:sz w:val="23"/>
          <w:szCs w:val="23"/>
          <w:rtl/>
        </w:rPr>
        <w:t>أمثلة على الابتكار الجذري</w:t>
      </w:r>
    </w:p>
    <w:p w14:paraId="632C6040">
      <w:pPr>
        <w:pStyle w:val="16"/>
        <w:numPr>
          <w:ilvl w:val="0"/>
          <w:numId w:val="1"/>
        </w:numPr>
        <w:bidi/>
        <w:spacing w:after="100" w:line="290" w:lineRule="auto"/>
        <w:jc w:val="right"/>
      </w:pPr>
      <w:r>
        <w:rPr>
          <w:rFonts w:ascii="DejaVu Sans" w:hAnsi="DejaVu Sans" w:eastAsia="DejaVu Sans" w:cs="DejaVu Sans"/>
          <w:sz w:val="22"/>
          <w:szCs w:val="22"/>
          <w:rtl/>
        </w:rPr>
        <w:t>الإنترنت</w:t>
      </w:r>
    </w:p>
    <w:p w14:paraId="1550728A">
      <w:pPr>
        <w:pStyle w:val="16"/>
        <w:numPr>
          <w:ilvl w:val="0"/>
          <w:numId w:val="1"/>
        </w:numPr>
        <w:bidi/>
        <w:spacing w:after="100" w:line="290" w:lineRule="auto"/>
        <w:jc w:val="right"/>
      </w:pPr>
      <w:r>
        <w:rPr>
          <w:rFonts w:ascii="DejaVu Sans" w:hAnsi="DejaVu Sans" w:eastAsia="DejaVu Sans" w:cs="DejaVu Sans"/>
          <w:sz w:val="22"/>
          <w:szCs w:val="22"/>
          <w:rtl/>
        </w:rPr>
        <w:t>الهاتف الذكي</w:t>
      </w:r>
    </w:p>
    <w:p w14:paraId="392AD7BC">
      <w:pPr>
        <w:pStyle w:val="16"/>
        <w:numPr>
          <w:ilvl w:val="0"/>
          <w:numId w:val="1"/>
        </w:numPr>
        <w:bidi/>
        <w:spacing w:after="100" w:line="290" w:lineRule="auto"/>
        <w:jc w:val="right"/>
      </w:pPr>
      <w:r>
        <w:rPr>
          <w:rFonts w:ascii="DejaVu Sans" w:hAnsi="DejaVu Sans" w:eastAsia="DejaVu Sans" w:cs="DejaVu Sans"/>
          <w:sz w:val="22"/>
          <w:szCs w:val="22"/>
          <w:rtl/>
        </w:rPr>
        <w:t>الذكاء الاصطناعي التوليدي</w:t>
      </w:r>
    </w:p>
    <w:p w14:paraId="3D858F31">
      <w:pPr>
        <w:pStyle w:val="16"/>
        <w:numPr>
          <w:ilvl w:val="0"/>
          <w:numId w:val="1"/>
        </w:numPr>
        <w:bidi/>
        <w:spacing w:after="100" w:line="290" w:lineRule="auto"/>
        <w:jc w:val="right"/>
      </w:pPr>
      <w:r>
        <w:rPr>
          <w:rFonts w:ascii="DejaVu Sans" w:hAnsi="DejaVu Sans" w:eastAsia="DejaVu Sans" w:cs="DejaVu Sans"/>
          <w:sz w:val="22"/>
          <w:szCs w:val="22"/>
          <w:rtl/>
        </w:rPr>
        <w:t>المركبات الكهربائية</w:t>
      </w:r>
    </w:p>
    <w:p w14:paraId="32D9D29D">
      <w:pPr>
        <w:pStyle w:val="16"/>
        <w:numPr>
          <w:ilvl w:val="0"/>
          <w:numId w:val="1"/>
        </w:numPr>
        <w:bidi/>
        <w:spacing w:after="100" w:line="290" w:lineRule="auto"/>
        <w:jc w:val="right"/>
      </w:pPr>
      <w:r>
        <w:rPr>
          <w:rFonts w:ascii="DejaVu Sans" w:hAnsi="DejaVu Sans" w:eastAsia="DejaVu Sans" w:cs="DejaVu Sans"/>
          <w:sz w:val="22"/>
          <w:szCs w:val="22"/>
          <w:rtl/>
        </w:rPr>
        <w:t>البلوك تشين</w:t>
      </w:r>
    </w:p>
    <w:p w14:paraId="1E978BC8">
      <w:pPr>
        <w:pStyle w:val="16"/>
        <w:numPr>
          <w:ilvl w:val="0"/>
          <w:numId w:val="1"/>
        </w:numPr>
        <w:bidi/>
        <w:spacing w:after="100" w:line="290" w:lineRule="auto"/>
        <w:jc w:val="right"/>
      </w:pPr>
      <w:r>
        <w:rPr>
          <w:rFonts w:ascii="DejaVu Sans" w:hAnsi="DejaVu Sans" w:eastAsia="DejaVu Sans" w:cs="DejaVu Sans"/>
          <w:sz w:val="22"/>
          <w:szCs w:val="22"/>
          <w:rtl/>
        </w:rPr>
        <w:t>الخدمات المصرفية الرقمية</w:t>
      </w:r>
    </w:p>
    <w:tbl>
      <w:tblPr>
        <w:tblStyle w:val="9"/>
        <w:bidiVisual/>
        <w:tblW w:w="9700" w:type="dxa"/>
        <w:tblInd w:w="0" w:type="dxa"/>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Layout w:type="autofit"/>
        <w:tblCellMar>
          <w:top w:w="0" w:type="dxa"/>
          <w:left w:w="10" w:type="dxa"/>
          <w:bottom w:w="0" w:type="dxa"/>
          <w:right w:w="10" w:type="dxa"/>
        </w:tblCellMar>
      </w:tblPr>
      <w:tblGrid>
        <w:gridCol w:w="9700"/>
      </w:tblGrid>
      <w:tr w14:paraId="6E0201C4">
        <w:tblPrEx>
          <w:tblCellMar>
            <w:top w:w="0" w:type="dxa"/>
            <w:left w:w="10" w:type="dxa"/>
            <w:bottom w:w="0" w:type="dxa"/>
            <w:right w:w="10" w:type="dxa"/>
          </w:tblCellMar>
        </w:tblPrEx>
        <w:tc>
          <w:tcPr>
            <w:tcW w:w="9700" w:type="dxa"/>
            <w:shd w:val="clear" w:color="auto" w:fill="EAF2F8"/>
            <w:tcMar>
              <w:top w:w="150" w:type="dxa"/>
              <w:left w:w="200" w:type="dxa"/>
              <w:bottom w:w="150" w:type="dxa"/>
              <w:right w:w="200" w:type="dxa"/>
            </w:tcMar>
          </w:tcPr>
          <w:p w14:paraId="17D7AF8D">
            <w:pPr>
              <w:bidi/>
              <w:spacing w:after="80"/>
              <w:jc w:val="right"/>
            </w:pPr>
            <w:r>
              <w:rPr>
                <w:rFonts w:ascii="DejaVu Sans" w:hAnsi="DejaVu Sans" w:eastAsia="DejaVu Sans" w:cs="DejaVu Sans"/>
                <w:b/>
                <w:bCs/>
                <w:color w:val="1F4E5F"/>
                <w:sz w:val="22"/>
                <w:szCs w:val="22"/>
                <w:rtl/>
              </w:rPr>
              <w:t>🔎 توسيع الأمثلة</w:t>
            </w:r>
          </w:p>
          <w:p w14:paraId="22D8991D">
            <w:pPr>
              <w:bidi/>
              <w:spacing w:after="0"/>
              <w:jc w:val="right"/>
            </w:pPr>
            <w:r>
              <w:rPr>
                <w:rFonts w:ascii="DejaVu Sans" w:hAnsi="DejaVu Sans" w:eastAsia="DejaVu Sans" w:cs="DejaVu Sans"/>
                <w:sz w:val="21"/>
                <w:szCs w:val="21"/>
                <w:rtl/>
              </w:rPr>
              <w:t>من أمثلة الابتكار الجذري أيضاً: طابعة نتفليكس لخدمة البث التي ألغت الحاجة لمحال تأجير الأفلام (مثل بلوكباستر التي أفلست)، وشركة تسلا التي لم تكتفِ باختراع سيارة كهربائية بل ابتكرت منظومة كاملة (شبكة شحن، برمجيات تحديث عن بعد، مصنع آلي) غيّرت قواعد صناعة السيارات.</w:t>
            </w:r>
          </w:p>
        </w:tc>
      </w:tr>
    </w:tbl>
    <w:p w14:paraId="73B12CAA">
      <w:pPr>
        <w:bidi/>
        <w:spacing w:after="160" w:line="300" w:lineRule="auto"/>
        <w:jc w:val="right"/>
      </w:pPr>
      <w:r>
        <w:rPr>
          <w:rFonts w:ascii="DejaVu Sans" w:hAnsi="DejaVu Sans" w:eastAsia="DejaVu Sans" w:cs="DejaVu Sans"/>
          <w:b/>
          <w:bCs/>
          <w:sz w:val="22"/>
          <w:szCs w:val="22"/>
          <w:rtl/>
        </w:rPr>
        <w:t xml:space="preserve">السؤال الإداري المطروح في الشريحة: </w:t>
      </w:r>
      <w:r>
        <w:rPr>
          <w:rFonts w:ascii="DejaVu Sans" w:hAnsi="DejaVu Sans" w:eastAsia="DejaVu Sans" w:cs="DejaVu Sans"/>
          <w:b w:val="0"/>
          <w:bCs w:val="0"/>
          <w:sz w:val="22"/>
          <w:szCs w:val="22"/>
          <w:rtl/>
        </w:rPr>
        <w:t>كيف تستثمر المؤسسة في الابتكار الجذري دون إهمال أعمالها الحالية؟ وهذا ما يُعرف في الأدبيات الإدارية بـ"معضلة المبتكر" (Innovator's Dilemma) التي صاغها كلايتون كريستنسن، وهي أن المؤسسات الناجحة تخشى المخاطرة بأعمالها الحالية المربحة من أجل ابتكار جذري قد يُفشل تلك الأعمال ذاتها (تماماً كما حدث مع كوداك التي اخترعت الكاميرا الرقمية لكنها ترددت في تبنيها خوفاً على أعمال التصوير التقليدي، فخسرت السوق في النهاية).</w:t>
      </w:r>
    </w:p>
    <w:p w14:paraId="792EF06E">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٧. الابتكار التدريجي (Incremental Innovation)</w:t>
      </w:r>
    </w:p>
    <w:p w14:paraId="1A173190">
      <w:pPr>
        <w:bidi/>
        <w:spacing w:after="160" w:line="300" w:lineRule="auto"/>
        <w:jc w:val="right"/>
      </w:pPr>
      <w:r>
        <w:rPr>
          <w:rFonts w:ascii="DejaVu Sans" w:hAnsi="DejaVu Sans" w:eastAsia="DejaVu Sans" w:cs="DejaVu Sans"/>
          <w:b w:val="0"/>
          <w:bCs w:val="0"/>
          <w:i w:val="0"/>
          <w:iCs w:val="0"/>
          <w:sz w:val="22"/>
          <w:szCs w:val="22"/>
          <w:rtl/>
        </w:rPr>
        <w:t>هو عبارة عن تحسينات متتابعة على منتج أو خدمة أو عملية قائمة أصلاً، دون تغيير جذري في طبيعتها.</w:t>
      </w:r>
    </w:p>
    <w:p w14:paraId="63799B16">
      <w:pPr>
        <w:pStyle w:val="4"/>
        <w:bidi/>
        <w:spacing w:before="200" w:after="100"/>
        <w:jc w:val="right"/>
      </w:pPr>
      <w:r>
        <w:rPr>
          <w:rFonts w:ascii="DejaVu Sans" w:hAnsi="DejaVu Sans" w:eastAsia="DejaVu Sans" w:cs="DejaVu Sans"/>
          <w:b/>
          <w:bCs/>
          <w:color w:val="444444"/>
          <w:sz w:val="23"/>
          <w:szCs w:val="23"/>
          <w:rtl/>
        </w:rPr>
        <w:t>أمثلة</w:t>
      </w:r>
    </w:p>
    <w:p w14:paraId="66D6EE5A">
      <w:pPr>
        <w:pStyle w:val="16"/>
        <w:numPr>
          <w:ilvl w:val="0"/>
          <w:numId w:val="1"/>
        </w:numPr>
        <w:bidi/>
        <w:spacing w:after="100" w:line="290" w:lineRule="auto"/>
        <w:jc w:val="right"/>
      </w:pPr>
      <w:r>
        <w:rPr>
          <w:rFonts w:ascii="DejaVu Sans" w:hAnsi="DejaVu Sans" w:eastAsia="DejaVu Sans" w:cs="DejaVu Sans"/>
          <w:sz w:val="22"/>
          <w:szCs w:val="22"/>
          <w:rtl/>
        </w:rPr>
        <w:t>إضافة خصائص جديدة لتطبيق مصرفي موجود</w:t>
      </w:r>
    </w:p>
    <w:p w14:paraId="6893B932">
      <w:pPr>
        <w:pStyle w:val="16"/>
        <w:numPr>
          <w:ilvl w:val="0"/>
          <w:numId w:val="1"/>
        </w:numPr>
        <w:bidi/>
        <w:spacing w:after="100" w:line="290" w:lineRule="auto"/>
        <w:jc w:val="right"/>
      </w:pPr>
      <w:r>
        <w:rPr>
          <w:rFonts w:ascii="DejaVu Sans" w:hAnsi="DejaVu Sans" w:eastAsia="DejaVu Sans" w:cs="DejaVu Sans"/>
          <w:sz w:val="22"/>
          <w:szCs w:val="22"/>
          <w:rtl/>
        </w:rPr>
        <w:t>تحسين سرعة الخدمة</w:t>
      </w:r>
    </w:p>
    <w:p w14:paraId="657AA33C">
      <w:pPr>
        <w:pStyle w:val="16"/>
        <w:numPr>
          <w:ilvl w:val="0"/>
          <w:numId w:val="1"/>
        </w:numPr>
        <w:bidi/>
        <w:spacing w:after="100" w:line="290" w:lineRule="auto"/>
        <w:jc w:val="right"/>
      </w:pPr>
      <w:r>
        <w:rPr>
          <w:rFonts w:ascii="DejaVu Sans" w:hAnsi="DejaVu Sans" w:eastAsia="DejaVu Sans" w:cs="DejaVu Sans"/>
          <w:sz w:val="22"/>
          <w:szCs w:val="22"/>
          <w:rtl/>
        </w:rPr>
        <w:t>تقليل استهلاك الطاقة</w:t>
      </w:r>
    </w:p>
    <w:p w14:paraId="2A5F8E4D">
      <w:pPr>
        <w:pStyle w:val="16"/>
        <w:numPr>
          <w:ilvl w:val="0"/>
          <w:numId w:val="1"/>
        </w:numPr>
        <w:bidi/>
        <w:spacing w:after="100" w:line="290" w:lineRule="auto"/>
        <w:jc w:val="right"/>
      </w:pPr>
      <w:r>
        <w:rPr>
          <w:rFonts w:ascii="DejaVu Sans" w:hAnsi="DejaVu Sans" w:eastAsia="DejaVu Sans" w:cs="DejaVu Sans"/>
          <w:sz w:val="22"/>
          <w:szCs w:val="22"/>
          <w:rtl/>
        </w:rPr>
        <w:t>تحسين تجربة المستخدم (واجهة أوضح مثلاً)</w:t>
      </w:r>
    </w:p>
    <w:p w14:paraId="6D209362">
      <w:pPr>
        <w:pStyle w:val="16"/>
        <w:numPr>
          <w:ilvl w:val="0"/>
          <w:numId w:val="1"/>
        </w:numPr>
        <w:bidi/>
        <w:spacing w:after="100" w:line="290" w:lineRule="auto"/>
        <w:jc w:val="right"/>
      </w:pPr>
      <w:r>
        <w:rPr>
          <w:rFonts w:ascii="DejaVu Sans" w:hAnsi="DejaVu Sans" w:eastAsia="DejaVu Sans" w:cs="DejaVu Sans"/>
          <w:sz w:val="22"/>
          <w:szCs w:val="22"/>
          <w:rtl/>
        </w:rPr>
        <w:t>رفع جودة المنتج</w:t>
      </w:r>
    </w:p>
    <w:tbl>
      <w:tblPr>
        <w:tblStyle w:val="9"/>
        <w:bidiVisual/>
        <w:tblW w:w="9700" w:type="dxa"/>
        <w:tblInd w:w="0" w:type="dxa"/>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Layout w:type="autofit"/>
        <w:tblCellMar>
          <w:top w:w="0" w:type="dxa"/>
          <w:left w:w="10" w:type="dxa"/>
          <w:bottom w:w="0" w:type="dxa"/>
          <w:right w:w="10" w:type="dxa"/>
        </w:tblCellMar>
      </w:tblPr>
      <w:tblGrid>
        <w:gridCol w:w="9700"/>
      </w:tblGrid>
      <w:tr w14:paraId="2C591047">
        <w:tblPrEx>
          <w:tblCellMar>
            <w:top w:w="0" w:type="dxa"/>
            <w:left w:w="10" w:type="dxa"/>
            <w:bottom w:w="0" w:type="dxa"/>
            <w:right w:w="10" w:type="dxa"/>
          </w:tblCellMar>
        </w:tblPrEx>
        <w:tc>
          <w:tcPr>
            <w:tcW w:w="9700" w:type="dxa"/>
            <w:shd w:val="clear" w:color="auto" w:fill="EAF2F8"/>
            <w:tcMar>
              <w:top w:w="150" w:type="dxa"/>
              <w:left w:w="200" w:type="dxa"/>
              <w:bottom w:w="150" w:type="dxa"/>
              <w:right w:w="200" w:type="dxa"/>
            </w:tcMar>
          </w:tcPr>
          <w:p w14:paraId="26E417FD">
            <w:pPr>
              <w:bidi/>
              <w:spacing w:after="80"/>
              <w:jc w:val="right"/>
            </w:pPr>
            <w:r>
              <w:rPr>
                <w:rFonts w:ascii="DejaVu Sans" w:hAnsi="DejaVu Sans" w:eastAsia="DejaVu Sans" w:cs="DejaVu Sans"/>
                <w:b/>
                <w:bCs/>
                <w:color w:val="1F4E5F"/>
                <w:sz w:val="22"/>
                <w:szCs w:val="22"/>
                <w:rtl/>
              </w:rPr>
              <w:t>🔎 مثال توضيحي</w:t>
            </w:r>
          </w:p>
          <w:p w14:paraId="03F7D483">
            <w:pPr>
              <w:bidi/>
              <w:spacing w:after="0"/>
              <w:jc w:val="right"/>
            </w:pPr>
            <w:r>
              <w:rPr>
                <w:rFonts w:ascii="DejaVu Sans" w:hAnsi="DejaVu Sans" w:eastAsia="DejaVu Sans" w:cs="DejaVu Sans"/>
                <w:sz w:val="21"/>
                <w:szCs w:val="21"/>
                <w:rtl/>
              </w:rPr>
              <w:t>كل تحديث سنوي لهاتف آيفون تقريباً هو ابتكار تدريجي: كاميرا أفضل قليلاً، معالج أسرع، بطارية أطول عمراً. المنتج لم يتغيّر جوهرياً (لا يزال هاتفاً ذكياً بشاشة لمس)، لكنه يتحسّن تراكمياً عاماً بعد عام. هذا النمط منخفض المخاطرة لأن الشركة تبني على قاعدة عملاء وتقنية مُختبرة أصلاً.</w:t>
            </w:r>
          </w:p>
        </w:tc>
      </w:tr>
    </w:tbl>
    <w:p w14:paraId="31ED9D2C">
      <w:pPr>
        <w:bidi/>
        <w:spacing w:after="160" w:line="300" w:lineRule="auto"/>
        <w:jc w:val="right"/>
      </w:pPr>
      <w:r>
        <w:rPr>
          <w:rFonts w:ascii="DejaVu Sans" w:hAnsi="DejaVu Sans" w:eastAsia="DejaVu Sans" w:cs="DejaVu Sans"/>
          <w:b w:val="0"/>
          <w:bCs w:val="0"/>
          <w:i w:val="0"/>
          <w:iCs w:val="0"/>
          <w:sz w:val="22"/>
          <w:szCs w:val="22"/>
          <w:rtl/>
        </w:rPr>
        <w:t>ميزته الأساسية: مخاطرة أقل ونتائج أكثر قابلية للتوقع مقارنة بالابتكار الجذري.</w:t>
      </w:r>
    </w:p>
    <w:p w14:paraId="47787AD9">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٨. الابتكار الجذري مقابل التدريجي: مقارنة مباشرة</w:t>
      </w:r>
    </w:p>
    <w:tbl>
      <w:tblPr>
        <w:tblStyle w:val="9"/>
        <w:bidiVisual/>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469F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0" w:type="dxa"/>
            <w:shd w:val="clear" w:color="auto" w:fill="1F4E5F"/>
            <w:tcMar>
              <w:top w:w="100" w:type="dxa"/>
              <w:left w:w="120" w:type="dxa"/>
              <w:bottom w:w="100" w:type="dxa"/>
              <w:right w:w="120" w:type="dxa"/>
            </w:tcMar>
          </w:tcPr>
          <w:p w14:paraId="6AA705A8">
            <w:pPr>
              <w:bidi/>
              <w:jc w:val="center"/>
            </w:pPr>
            <w:r>
              <w:rPr>
                <w:rFonts w:ascii="DejaVu Sans" w:hAnsi="DejaVu Sans" w:eastAsia="DejaVu Sans" w:cs="DejaVu Sans"/>
                <w:b/>
                <w:bCs/>
                <w:color w:val="FFFFFF"/>
                <w:sz w:val="21"/>
                <w:szCs w:val="21"/>
                <w:rtl/>
              </w:rPr>
              <w:t>المعيار</w:t>
            </w:r>
          </w:p>
        </w:tc>
        <w:tc>
          <w:tcPr>
            <w:tcW w:w="3000" w:type="dxa"/>
            <w:shd w:val="clear" w:color="auto" w:fill="1F4E5F"/>
            <w:tcMar>
              <w:top w:w="100" w:type="dxa"/>
              <w:left w:w="120" w:type="dxa"/>
              <w:bottom w:w="100" w:type="dxa"/>
              <w:right w:w="120" w:type="dxa"/>
            </w:tcMar>
          </w:tcPr>
          <w:p w14:paraId="7C21CC24">
            <w:pPr>
              <w:bidi/>
              <w:jc w:val="center"/>
            </w:pPr>
            <w:r>
              <w:rPr>
                <w:rFonts w:ascii="DejaVu Sans" w:hAnsi="DejaVu Sans" w:eastAsia="DejaVu Sans" w:cs="DejaVu Sans"/>
                <w:b/>
                <w:bCs/>
                <w:color w:val="FFFFFF"/>
                <w:sz w:val="21"/>
                <w:szCs w:val="21"/>
                <w:rtl/>
              </w:rPr>
              <w:t>الابتكار الجذري</w:t>
            </w:r>
          </w:p>
        </w:tc>
        <w:tc>
          <w:tcPr>
            <w:tcW w:w="3000" w:type="dxa"/>
            <w:shd w:val="clear" w:color="auto" w:fill="1F4E5F"/>
            <w:tcMar>
              <w:top w:w="100" w:type="dxa"/>
              <w:left w:w="120" w:type="dxa"/>
              <w:bottom w:w="100" w:type="dxa"/>
              <w:right w:w="120" w:type="dxa"/>
            </w:tcMar>
          </w:tcPr>
          <w:p w14:paraId="24A2578B">
            <w:pPr>
              <w:bidi/>
              <w:jc w:val="center"/>
            </w:pPr>
            <w:r>
              <w:rPr>
                <w:rFonts w:ascii="DejaVu Sans" w:hAnsi="DejaVu Sans" w:eastAsia="DejaVu Sans" w:cs="DejaVu Sans"/>
                <w:b/>
                <w:bCs/>
                <w:color w:val="FFFFFF"/>
                <w:sz w:val="21"/>
                <w:szCs w:val="21"/>
                <w:rtl/>
              </w:rPr>
              <w:t>الابتكار التدريجي</w:t>
            </w:r>
          </w:p>
        </w:tc>
      </w:tr>
      <w:tr w14:paraId="00CF6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78128A1A">
            <w:pPr>
              <w:bidi/>
              <w:jc w:val="right"/>
            </w:pPr>
            <w:r>
              <w:rPr>
                <w:rFonts w:ascii="DejaVu Sans" w:hAnsi="DejaVu Sans" w:eastAsia="DejaVu Sans" w:cs="DejaVu Sans"/>
                <w:sz w:val="21"/>
                <w:szCs w:val="21"/>
                <w:rtl/>
              </w:rPr>
              <w:t>طبيعة التغيير</w:t>
            </w:r>
          </w:p>
        </w:tc>
        <w:tc>
          <w:tcPr>
            <w:tcW w:w="3000" w:type="dxa"/>
            <w:shd w:val="clear" w:color="auto" w:fill="FFFFFF"/>
            <w:tcMar>
              <w:top w:w="100" w:type="dxa"/>
              <w:left w:w="120" w:type="dxa"/>
              <w:bottom w:w="100" w:type="dxa"/>
              <w:right w:w="120" w:type="dxa"/>
            </w:tcMar>
          </w:tcPr>
          <w:p w14:paraId="10C36783">
            <w:pPr>
              <w:bidi/>
              <w:jc w:val="right"/>
            </w:pPr>
            <w:r>
              <w:rPr>
                <w:rFonts w:ascii="DejaVu Sans" w:hAnsi="DejaVu Sans" w:eastAsia="DejaVu Sans" w:cs="DejaVu Sans"/>
                <w:sz w:val="21"/>
                <w:szCs w:val="21"/>
                <w:rtl/>
              </w:rPr>
              <w:t>قفزة نوعية</w:t>
            </w:r>
          </w:p>
        </w:tc>
        <w:tc>
          <w:tcPr>
            <w:tcW w:w="3000" w:type="dxa"/>
            <w:shd w:val="clear" w:color="auto" w:fill="FFFFFF"/>
            <w:tcMar>
              <w:top w:w="100" w:type="dxa"/>
              <w:left w:w="120" w:type="dxa"/>
              <w:bottom w:w="100" w:type="dxa"/>
              <w:right w:w="120" w:type="dxa"/>
            </w:tcMar>
          </w:tcPr>
          <w:p w14:paraId="43FC31DD">
            <w:pPr>
              <w:bidi/>
              <w:jc w:val="right"/>
            </w:pPr>
            <w:r>
              <w:rPr>
                <w:rFonts w:ascii="DejaVu Sans" w:hAnsi="DejaVu Sans" w:eastAsia="DejaVu Sans" w:cs="DejaVu Sans"/>
                <w:sz w:val="21"/>
                <w:szCs w:val="21"/>
                <w:rtl/>
              </w:rPr>
              <w:t>تحسين تراكمي</w:t>
            </w:r>
          </w:p>
        </w:tc>
      </w:tr>
      <w:tr w14:paraId="32F0E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7FB"/>
            <w:tcMar>
              <w:top w:w="100" w:type="dxa"/>
              <w:left w:w="120" w:type="dxa"/>
              <w:bottom w:w="100" w:type="dxa"/>
              <w:right w:w="120" w:type="dxa"/>
            </w:tcMar>
          </w:tcPr>
          <w:p w14:paraId="470AED00">
            <w:pPr>
              <w:bidi/>
              <w:jc w:val="right"/>
            </w:pPr>
            <w:r>
              <w:rPr>
                <w:rFonts w:ascii="DejaVu Sans" w:hAnsi="DejaVu Sans" w:eastAsia="DejaVu Sans" w:cs="DejaVu Sans"/>
                <w:sz w:val="21"/>
                <w:szCs w:val="21"/>
                <w:rtl/>
              </w:rPr>
              <w:t>المخاطرة</w:t>
            </w:r>
          </w:p>
        </w:tc>
        <w:tc>
          <w:tcPr>
            <w:tcW w:w="3000" w:type="dxa"/>
            <w:shd w:val="clear" w:color="auto" w:fill="F2F7FB"/>
            <w:tcMar>
              <w:top w:w="100" w:type="dxa"/>
              <w:left w:w="120" w:type="dxa"/>
              <w:bottom w:w="100" w:type="dxa"/>
              <w:right w:w="120" w:type="dxa"/>
            </w:tcMar>
          </w:tcPr>
          <w:p w14:paraId="5C6E1A6A">
            <w:pPr>
              <w:bidi/>
              <w:jc w:val="right"/>
            </w:pPr>
            <w:r>
              <w:rPr>
                <w:rFonts w:ascii="DejaVu Sans" w:hAnsi="DejaVu Sans" w:eastAsia="DejaVu Sans" w:cs="DejaVu Sans"/>
                <w:sz w:val="21"/>
                <w:szCs w:val="21"/>
                <w:rtl/>
              </w:rPr>
              <w:t>مرتفعة</w:t>
            </w:r>
          </w:p>
        </w:tc>
        <w:tc>
          <w:tcPr>
            <w:tcW w:w="3000" w:type="dxa"/>
            <w:shd w:val="clear" w:color="auto" w:fill="F2F7FB"/>
            <w:tcMar>
              <w:top w:w="100" w:type="dxa"/>
              <w:left w:w="120" w:type="dxa"/>
              <w:bottom w:w="100" w:type="dxa"/>
              <w:right w:w="120" w:type="dxa"/>
            </w:tcMar>
          </w:tcPr>
          <w:p w14:paraId="557A5A48">
            <w:pPr>
              <w:bidi/>
              <w:jc w:val="right"/>
            </w:pPr>
            <w:r>
              <w:rPr>
                <w:rFonts w:ascii="DejaVu Sans" w:hAnsi="DejaVu Sans" w:eastAsia="DejaVu Sans" w:cs="DejaVu Sans"/>
                <w:sz w:val="21"/>
                <w:szCs w:val="21"/>
                <w:rtl/>
              </w:rPr>
              <w:t>أقل نسبياً</w:t>
            </w:r>
          </w:p>
        </w:tc>
      </w:tr>
      <w:tr w14:paraId="1D9A9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1B96364E">
            <w:pPr>
              <w:bidi/>
              <w:jc w:val="right"/>
            </w:pPr>
            <w:r>
              <w:rPr>
                <w:rFonts w:ascii="DejaVu Sans" w:hAnsi="DejaVu Sans" w:eastAsia="DejaVu Sans" w:cs="DejaVu Sans"/>
                <w:sz w:val="21"/>
                <w:szCs w:val="21"/>
                <w:rtl/>
              </w:rPr>
              <w:t>الأثر السوقي</w:t>
            </w:r>
          </w:p>
        </w:tc>
        <w:tc>
          <w:tcPr>
            <w:tcW w:w="3000" w:type="dxa"/>
            <w:shd w:val="clear" w:color="auto" w:fill="FFFFFF"/>
            <w:tcMar>
              <w:top w:w="100" w:type="dxa"/>
              <w:left w:w="120" w:type="dxa"/>
              <w:bottom w:w="100" w:type="dxa"/>
              <w:right w:w="120" w:type="dxa"/>
            </w:tcMar>
          </w:tcPr>
          <w:p w14:paraId="079E146A">
            <w:pPr>
              <w:bidi/>
              <w:jc w:val="right"/>
            </w:pPr>
            <w:r>
              <w:rPr>
                <w:rFonts w:ascii="DejaVu Sans" w:hAnsi="DejaVu Sans" w:eastAsia="DejaVu Sans" w:cs="DejaVu Sans"/>
                <w:sz w:val="21"/>
                <w:szCs w:val="21"/>
                <w:rtl/>
              </w:rPr>
              <w:t>قد يخلق سوقاً جديدة بالكامل</w:t>
            </w:r>
          </w:p>
        </w:tc>
        <w:tc>
          <w:tcPr>
            <w:tcW w:w="3000" w:type="dxa"/>
            <w:shd w:val="clear" w:color="auto" w:fill="FFFFFF"/>
            <w:tcMar>
              <w:top w:w="100" w:type="dxa"/>
              <w:left w:w="120" w:type="dxa"/>
              <w:bottom w:w="100" w:type="dxa"/>
              <w:right w:w="120" w:type="dxa"/>
            </w:tcMar>
          </w:tcPr>
          <w:p w14:paraId="07C97F0A">
            <w:pPr>
              <w:bidi/>
              <w:jc w:val="right"/>
            </w:pPr>
            <w:r>
              <w:rPr>
                <w:rFonts w:ascii="DejaVu Sans" w:hAnsi="DejaVu Sans" w:eastAsia="DejaVu Sans" w:cs="DejaVu Sans"/>
                <w:sz w:val="21"/>
                <w:szCs w:val="21"/>
                <w:rtl/>
              </w:rPr>
              <w:t>يعزز السوق القائمة ويقوّيها</w:t>
            </w:r>
          </w:p>
        </w:tc>
      </w:tr>
      <w:tr w14:paraId="6D3AE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7FB"/>
            <w:tcMar>
              <w:top w:w="100" w:type="dxa"/>
              <w:left w:w="120" w:type="dxa"/>
              <w:bottom w:w="100" w:type="dxa"/>
              <w:right w:w="120" w:type="dxa"/>
            </w:tcMar>
          </w:tcPr>
          <w:p w14:paraId="38CD3252">
            <w:pPr>
              <w:bidi/>
              <w:jc w:val="right"/>
            </w:pPr>
            <w:r>
              <w:rPr>
                <w:rFonts w:ascii="DejaVu Sans" w:hAnsi="DejaVu Sans" w:eastAsia="DejaVu Sans" w:cs="DejaVu Sans"/>
                <w:sz w:val="21"/>
                <w:szCs w:val="21"/>
                <w:rtl/>
              </w:rPr>
              <w:t>متطلبات المعرفة</w:t>
            </w:r>
          </w:p>
        </w:tc>
        <w:tc>
          <w:tcPr>
            <w:tcW w:w="3000" w:type="dxa"/>
            <w:shd w:val="clear" w:color="auto" w:fill="F2F7FB"/>
            <w:tcMar>
              <w:top w:w="100" w:type="dxa"/>
              <w:left w:w="120" w:type="dxa"/>
              <w:bottom w:w="100" w:type="dxa"/>
              <w:right w:w="120" w:type="dxa"/>
            </w:tcMar>
          </w:tcPr>
          <w:p w14:paraId="3BC622FC">
            <w:pPr>
              <w:bidi/>
              <w:jc w:val="right"/>
            </w:pPr>
            <w:r>
              <w:rPr>
                <w:rFonts w:ascii="DejaVu Sans" w:hAnsi="DejaVu Sans" w:eastAsia="DejaVu Sans" w:cs="DejaVu Sans"/>
                <w:sz w:val="21"/>
                <w:szCs w:val="21"/>
                <w:rtl/>
              </w:rPr>
              <w:t>يحتاج قدرات ومعارف جديدة كلياً</w:t>
            </w:r>
          </w:p>
        </w:tc>
        <w:tc>
          <w:tcPr>
            <w:tcW w:w="3000" w:type="dxa"/>
            <w:shd w:val="clear" w:color="auto" w:fill="F2F7FB"/>
            <w:tcMar>
              <w:top w:w="100" w:type="dxa"/>
              <w:left w:w="120" w:type="dxa"/>
              <w:bottom w:w="100" w:type="dxa"/>
              <w:right w:w="120" w:type="dxa"/>
            </w:tcMar>
          </w:tcPr>
          <w:p w14:paraId="0CCD8494">
            <w:pPr>
              <w:bidi/>
              <w:jc w:val="right"/>
            </w:pPr>
            <w:r>
              <w:rPr>
                <w:rFonts w:ascii="DejaVu Sans" w:hAnsi="DejaVu Sans" w:eastAsia="DejaVu Sans" w:cs="DejaVu Sans"/>
                <w:sz w:val="21"/>
                <w:szCs w:val="21"/>
                <w:rtl/>
              </w:rPr>
              <w:t>يعتمد على التعلّم من المنتج الحالي</w:t>
            </w:r>
          </w:p>
        </w:tc>
      </w:tr>
    </w:tbl>
    <w:p w14:paraId="143F32A1">
      <w:pPr>
        <w:spacing w:after="60"/>
      </w:pPr>
    </w:p>
    <w:p w14:paraId="3A1D8E69">
      <w:pPr>
        <w:bidi/>
        <w:spacing w:after="160" w:line="300" w:lineRule="auto"/>
        <w:jc w:val="right"/>
      </w:pPr>
      <w:r>
        <w:rPr>
          <w:rFonts w:ascii="DejaVu Sans" w:hAnsi="DejaVu Sans" w:eastAsia="DejaVu Sans" w:cs="DejaVu Sans"/>
          <w:b w:val="0"/>
          <w:bCs w:val="0"/>
          <w:i w:val="0"/>
          <w:iCs w:val="0"/>
          <w:sz w:val="22"/>
          <w:szCs w:val="22"/>
          <w:rtl/>
        </w:rPr>
        <w:t>الخلاصة العملية لهذه المقارنة أن المؤسسات الناضجة غالباً تحتاج المزج بين النمطين معاً: تعتمد على الابتكار التدريجي لتحقيق إيرادات مستقرة اليوم، بينما تخصص جزءاً من مواردها (استثمار محسوب) لاستكشاف ابتكارات جذرية قد تكون مصدر نموها غداً.</w:t>
      </w:r>
    </w:p>
    <w:p w14:paraId="4444FF02">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٩. الابتكار المفتوح (Open Innovation)</w:t>
      </w:r>
    </w:p>
    <w:p w14:paraId="5F768978">
      <w:pPr>
        <w:bidi/>
        <w:spacing w:after="160" w:line="300" w:lineRule="auto"/>
        <w:jc w:val="right"/>
      </w:pPr>
      <w:r>
        <w:rPr>
          <w:rFonts w:ascii="DejaVu Sans" w:hAnsi="DejaVu Sans" w:eastAsia="DejaVu Sans" w:cs="DejaVu Sans"/>
          <w:b w:val="0"/>
          <w:bCs w:val="0"/>
          <w:i w:val="0"/>
          <w:iCs w:val="0"/>
          <w:sz w:val="22"/>
          <w:szCs w:val="22"/>
          <w:rtl/>
        </w:rPr>
        <w:t>يقوم على استخدام المعرفة والأفكار والتقنيات الداخلية والخارجية معاً لتسريع الابتكار وخلق القيمة. والفكرة الجوهرية هنا أن المؤسسة لم تعد مضطرة إلى تطوير كل شيء داخل حدودها التنظيمية، بل يمكنها الاستفادة من مصادر خارجية مثل: الجامعات، العملاء، الشركات الناشئة، الموردين، مراكز البحث، والمنصات الرقمية.</w:t>
      </w:r>
    </w:p>
    <w:p w14:paraId="674D4A34">
      <w:pPr>
        <w:pStyle w:val="4"/>
        <w:bidi/>
        <w:spacing w:before="200" w:after="100"/>
        <w:jc w:val="right"/>
      </w:pPr>
      <w:r>
        <w:rPr>
          <w:rFonts w:ascii="DejaVu Sans" w:hAnsi="DejaVu Sans" w:eastAsia="DejaVu Sans" w:cs="DejaVu Sans"/>
          <w:b/>
          <w:bCs/>
          <w:color w:val="444444"/>
          <w:sz w:val="23"/>
          <w:szCs w:val="23"/>
          <w:rtl/>
        </w:rPr>
        <w:t>الأبعاد الثلاثة للابتكار المفتوح</w:t>
      </w:r>
    </w:p>
    <w:p w14:paraId="3584E9AF">
      <w:pPr>
        <w:bidi/>
        <w:spacing w:after="160" w:line="300" w:lineRule="auto"/>
        <w:jc w:val="right"/>
      </w:pPr>
      <w:r>
        <w:rPr>
          <w:rFonts w:ascii="DejaVu Sans" w:hAnsi="DejaVu Sans" w:eastAsia="DejaVu Sans" w:cs="DejaVu Sans"/>
          <w:b/>
          <w:bCs/>
          <w:sz w:val="22"/>
          <w:szCs w:val="22"/>
          <w:rtl/>
        </w:rPr>
        <w:t xml:space="preserve">١. الابتكار الداخل (Inbound): </w:t>
      </w:r>
      <w:r>
        <w:rPr>
          <w:rFonts w:ascii="DejaVu Sans" w:hAnsi="DejaVu Sans" w:eastAsia="DejaVu Sans" w:cs="DejaVu Sans"/>
          <w:b w:val="0"/>
          <w:bCs w:val="0"/>
          <w:sz w:val="22"/>
          <w:szCs w:val="22"/>
          <w:rtl/>
        </w:rPr>
        <w:t>استيعاب المعرفة والتقنيات الخارجية والاستفادة منها داخلياً.</w:t>
      </w:r>
    </w:p>
    <w:tbl>
      <w:tblPr>
        <w:tblStyle w:val="9"/>
        <w:bidiVisual/>
        <w:tblW w:w="9700" w:type="dxa"/>
        <w:tblInd w:w="0" w:type="dxa"/>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Layout w:type="autofit"/>
        <w:tblCellMar>
          <w:top w:w="0" w:type="dxa"/>
          <w:left w:w="10" w:type="dxa"/>
          <w:bottom w:w="0" w:type="dxa"/>
          <w:right w:w="10" w:type="dxa"/>
        </w:tblCellMar>
      </w:tblPr>
      <w:tblGrid>
        <w:gridCol w:w="9700"/>
      </w:tblGrid>
      <w:tr w14:paraId="431A4BDC">
        <w:tblPrEx>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PrEx>
        <w:tc>
          <w:tcPr>
            <w:tcW w:w="9700" w:type="dxa"/>
            <w:shd w:val="clear" w:color="auto" w:fill="EAF2F8"/>
            <w:tcMar>
              <w:top w:w="150" w:type="dxa"/>
              <w:left w:w="200" w:type="dxa"/>
              <w:bottom w:w="150" w:type="dxa"/>
              <w:right w:w="200" w:type="dxa"/>
            </w:tcMar>
          </w:tcPr>
          <w:p w14:paraId="6EC10D15">
            <w:pPr>
              <w:bidi/>
              <w:spacing w:after="80"/>
              <w:jc w:val="right"/>
            </w:pPr>
            <w:r>
              <w:rPr>
                <w:rFonts w:ascii="DejaVu Sans" w:hAnsi="DejaVu Sans" w:eastAsia="DejaVu Sans" w:cs="DejaVu Sans"/>
                <w:b/>
                <w:bCs/>
                <w:color w:val="1F4E5F"/>
                <w:sz w:val="22"/>
                <w:szCs w:val="22"/>
                <w:rtl/>
              </w:rPr>
              <w:t>🔎 مثال على Inbound</w:t>
            </w:r>
          </w:p>
          <w:p w14:paraId="10F306F5">
            <w:pPr>
              <w:bidi/>
              <w:spacing w:after="0"/>
              <w:jc w:val="right"/>
            </w:pPr>
            <w:r>
              <w:rPr>
                <w:rFonts w:ascii="DejaVu Sans" w:hAnsi="DejaVu Sans" w:eastAsia="DejaVu Sans" w:cs="DejaVu Sans"/>
                <w:sz w:val="21"/>
                <w:szCs w:val="21"/>
                <w:rtl/>
              </w:rPr>
              <w:t>شركة بروكتر آند غامبل (P&amp;G) أطلقت برنامج "Connect + Develop" الذي يسمح لها بشراء أو ترخيص أفكار ومنتجات من مخترعين ومختبرات خارجية بدل تطوير كل شيء داخلياً، مما رفع نسبة منتجاتها المبتكرة القادمة من مصادر خارجية بشكل كبير.</w:t>
            </w:r>
          </w:p>
        </w:tc>
      </w:tr>
    </w:tbl>
    <w:p w14:paraId="5E9AC275">
      <w:pPr>
        <w:bidi/>
        <w:spacing w:after="160" w:line="300" w:lineRule="auto"/>
        <w:jc w:val="right"/>
      </w:pPr>
      <w:r>
        <w:rPr>
          <w:rFonts w:ascii="DejaVu Sans" w:hAnsi="DejaVu Sans" w:eastAsia="DejaVu Sans" w:cs="DejaVu Sans"/>
          <w:b/>
          <w:bCs/>
          <w:sz w:val="22"/>
          <w:szCs w:val="22"/>
          <w:rtl/>
        </w:rPr>
        <w:t xml:space="preserve">٢. الابتكار الخارج (Outbound): </w:t>
      </w:r>
      <w:r>
        <w:rPr>
          <w:rFonts w:ascii="DejaVu Sans" w:hAnsi="DejaVu Sans" w:eastAsia="DejaVu Sans" w:cs="DejaVu Sans"/>
          <w:b w:val="0"/>
          <w:bCs w:val="0"/>
          <w:sz w:val="22"/>
          <w:szCs w:val="22"/>
          <w:rtl/>
        </w:rPr>
        <w:t>إتاحة المعرفة أو التقنيات التي طوّرتها المؤسسة للآخرين ليستثمروها.</w:t>
      </w:r>
    </w:p>
    <w:tbl>
      <w:tblPr>
        <w:tblStyle w:val="9"/>
        <w:bidiVisual/>
        <w:tblW w:w="9700" w:type="dxa"/>
        <w:tblInd w:w="0" w:type="dxa"/>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Layout w:type="autofit"/>
        <w:tblCellMar>
          <w:top w:w="0" w:type="dxa"/>
          <w:left w:w="10" w:type="dxa"/>
          <w:bottom w:w="0" w:type="dxa"/>
          <w:right w:w="10" w:type="dxa"/>
        </w:tblCellMar>
      </w:tblPr>
      <w:tblGrid>
        <w:gridCol w:w="9700"/>
      </w:tblGrid>
      <w:tr w14:paraId="2F183370">
        <w:tblPrEx>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CellMar>
            <w:top w:w="0" w:type="dxa"/>
            <w:left w:w="10" w:type="dxa"/>
            <w:bottom w:w="0" w:type="dxa"/>
            <w:right w:w="10" w:type="dxa"/>
          </w:tblCellMar>
        </w:tblPrEx>
        <w:tc>
          <w:tcPr>
            <w:tcW w:w="9700" w:type="dxa"/>
            <w:shd w:val="clear" w:color="auto" w:fill="EAF2F8"/>
            <w:tcMar>
              <w:top w:w="150" w:type="dxa"/>
              <w:left w:w="200" w:type="dxa"/>
              <w:bottom w:w="150" w:type="dxa"/>
              <w:right w:w="200" w:type="dxa"/>
            </w:tcMar>
          </w:tcPr>
          <w:p w14:paraId="235F0CDA">
            <w:pPr>
              <w:bidi/>
              <w:spacing w:after="80"/>
              <w:jc w:val="right"/>
            </w:pPr>
            <w:r>
              <w:rPr>
                <w:rFonts w:ascii="DejaVu Sans" w:hAnsi="DejaVu Sans" w:eastAsia="DejaVu Sans" w:cs="DejaVu Sans"/>
                <w:b/>
                <w:bCs/>
                <w:color w:val="1F4E5F"/>
                <w:sz w:val="22"/>
                <w:szCs w:val="22"/>
                <w:rtl/>
              </w:rPr>
              <w:t>🔎 مثال على Outbound</w:t>
            </w:r>
          </w:p>
          <w:p w14:paraId="69F9DC6F">
            <w:pPr>
              <w:bidi/>
              <w:spacing w:after="0"/>
              <w:jc w:val="right"/>
            </w:pPr>
            <w:r>
              <w:rPr>
                <w:rFonts w:ascii="DejaVu Sans" w:hAnsi="DejaVu Sans" w:eastAsia="DejaVu Sans" w:cs="DejaVu Sans"/>
                <w:sz w:val="21"/>
                <w:szCs w:val="21"/>
                <w:rtl/>
              </w:rPr>
              <w:t>شركة تسلا أعلنت عام 2014 عن إتاحة براءات اختراعها المتعلقة بتقنية السيارات الكهربائية لأي شركة تريد استخدامها بحسن نية، بهدف تسريع انتشار السيارات الكهربائية في السوق عموماً (وهو ما يخدم تسلا نفسها على المدى الطويل عبر توسيع البنية التحتية للشحن مثلاً).</w:t>
            </w:r>
          </w:p>
        </w:tc>
      </w:tr>
    </w:tbl>
    <w:p w14:paraId="5F14FF89">
      <w:pPr>
        <w:bidi/>
        <w:spacing w:after="160" w:line="300" w:lineRule="auto"/>
        <w:jc w:val="right"/>
      </w:pPr>
      <w:r>
        <w:rPr>
          <w:rFonts w:ascii="DejaVu Sans" w:hAnsi="DejaVu Sans" w:eastAsia="DejaVu Sans" w:cs="DejaVu Sans"/>
          <w:b/>
          <w:bCs/>
          <w:sz w:val="22"/>
          <w:szCs w:val="22"/>
          <w:rtl/>
        </w:rPr>
        <w:t xml:space="preserve">٣. الابتكار التعاوني (Coupled): </w:t>
      </w:r>
      <w:r>
        <w:rPr>
          <w:rFonts w:ascii="DejaVu Sans" w:hAnsi="DejaVu Sans" w:eastAsia="DejaVu Sans" w:cs="DejaVu Sans"/>
          <w:b w:val="0"/>
          <w:bCs w:val="0"/>
          <w:sz w:val="22"/>
          <w:szCs w:val="22"/>
          <w:rtl/>
        </w:rPr>
        <w:t>شراكات بين طرفين أو أكثر لتطوير حلول مشتركة يستفيد منها الجميع.</w:t>
      </w:r>
    </w:p>
    <w:tbl>
      <w:tblPr>
        <w:tblStyle w:val="9"/>
        <w:bidiVisual/>
        <w:tblW w:w="9700" w:type="dxa"/>
        <w:tblInd w:w="0" w:type="dxa"/>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Layout w:type="autofit"/>
        <w:tblCellMar>
          <w:top w:w="0" w:type="dxa"/>
          <w:left w:w="10" w:type="dxa"/>
          <w:bottom w:w="0" w:type="dxa"/>
          <w:right w:w="10" w:type="dxa"/>
        </w:tblCellMar>
      </w:tblPr>
      <w:tblGrid>
        <w:gridCol w:w="9700"/>
      </w:tblGrid>
      <w:tr w14:paraId="245F7018">
        <w:tblPrEx>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CellMar>
            <w:top w:w="0" w:type="dxa"/>
            <w:left w:w="10" w:type="dxa"/>
            <w:bottom w:w="0" w:type="dxa"/>
            <w:right w:w="10" w:type="dxa"/>
          </w:tblCellMar>
        </w:tblPrEx>
        <w:tc>
          <w:tcPr>
            <w:tcW w:w="9700" w:type="dxa"/>
            <w:shd w:val="clear" w:color="auto" w:fill="EAF2F8"/>
            <w:tcMar>
              <w:top w:w="150" w:type="dxa"/>
              <w:left w:w="200" w:type="dxa"/>
              <w:bottom w:w="150" w:type="dxa"/>
              <w:right w:w="200" w:type="dxa"/>
            </w:tcMar>
          </w:tcPr>
          <w:p w14:paraId="294349FF">
            <w:pPr>
              <w:bidi/>
              <w:spacing w:after="80"/>
              <w:jc w:val="right"/>
            </w:pPr>
            <w:r>
              <w:rPr>
                <w:rFonts w:ascii="DejaVu Sans" w:hAnsi="DejaVu Sans" w:eastAsia="DejaVu Sans" w:cs="DejaVu Sans"/>
                <w:b/>
                <w:bCs/>
                <w:color w:val="1F4E5F"/>
                <w:sz w:val="22"/>
                <w:szCs w:val="22"/>
                <w:rtl/>
              </w:rPr>
              <w:t>🔎 مثال على Coupled</w:t>
            </w:r>
          </w:p>
          <w:p w14:paraId="47DFCA22">
            <w:pPr>
              <w:bidi/>
              <w:spacing w:after="0"/>
              <w:jc w:val="right"/>
            </w:pPr>
            <w:r>
              <w:rPr>
                <w:rFonts w:ascii="DejaVu Sans" w:hAnsi="DejaVu Sans" w:eastAsia="DejaVu Sans" w:cs="DejaVu Sans"/>
                <w:sz w:val="21"/>
                <w:szCs w:val="21"/>
                <w:rtl/>
              </w:rPr>
              <w:t>شراكات البنوك مع شركات التقنية المالية (FinTech) لتطوير حلول دفع مشتركة؛ كل طرف يقدّم ما يملكه (البنك: الترخيص والثقة والعملاء، وشركة الفينتك: المرونة التقنية والابتكار السريع) للوصول إلى منتج لا يستطيع أي طرف تطويره منفرداً بنفس الكفاءة.</w:t>
            </w:r>
          </w:p>
        </w:tc>
      </w:tr>
    </w:tbl>
    <w:p w14:paraId="58182BA0">
      <w:pPr>
        <w:pStyle w:val="4"/>
        <w:bidi/>
        <w:spacing w:before="200" w:after="100"/>
        <w:jc w:val="right"/>
      </w:pPr>
      <w:r>
        <w:rPr>
          <w:rFonts w:ascii="DejaVu Sans" w:hAnsi="DejaVu Sans" w:eastAsia="DejaVu Sans" w:cs="DejaVu Sans"/>
          <w:b/>
          <w:bCs/>
          <w:color w:val="444444"/>
          <w:sz w:val="23"/>
          <w:szCs w:val="23"/>
          <w:rtl/>
        </w:rPr>
        <w:t>لماذا نحتاج الابتكار المفتوح؟</w:t>
      </w:r>
    </w:p>
    <w:p w14:paraId="5A909CB5">
      <w:pPr>
        <w:pStyle w:val="16"/>
        <w:numPr>
          <w:ilvl w:val="0"/>
          <w:numId w:val="1"/>
        </w:numPr>
        <w:bidi/>
        <w:spacing w:after="100" w:line="290" w:lineRule="auto"/>
        <w:jc w:val="right"/>
      </w:pPr>
      <w:r>
        <w:rPr>
          <w:rFonts w:ascii="DejaVu Sans" w:hAnsi="DejaVu Sans" w:eastAsia="DejaVu Sans" w:cs="DejaVu Sans"/>
          <w:sz w:val="22"/>
          <w:szCs w:val="22"/>
          <w:rtl/>
        </w:rPr>
        <w:t>تسارع التغير التكنولوجي</w:t>
      </w:r>
    </w:p>
    <w:p w14:paraId="02DF224A">
      <w:pPr>
        <w:pStyle w:val="16"/>
        <w:numPr>
          <w:ilvl w:val="0"/>
          <w:numId w:val="1"/>
        </w:numPr>
        <w:bidi/>
        <w:spacing w:after="100" w:line="290" w:lineRule="auto"/>
        <w:jc w:val="right"/>
      </w:pPr>
      <w:r>
        <w:rPr>
          <w:rFonts w:ascii="DejaVu Sans" w:hAnsi="DejaVu Sans" w:eastAsia="DejaVu Sans" w:cs="DejaVu Sans"/>
          <w:sz w:val="22"/>
          <w:szCs w:val="22"/>
          <w:rtl/>
        </w:rPr>
        <w:t>انتشار المعرفة خارج حدود المؤسسة الواحدة</w:t>
      </w:r>
    </w:p>
    <w:p w14:paraId="506CECA6">
      <w:pPr>
        <w:pStyle w:val="16"/>
        <w:numPr>
          <w:ilvl w:val="0"/>
          <w:numId w:val="1"/>
        </w:numPr>
        <w:bidi/>
        <w:spacing w:after="100" w:line="290" w:lineRule="auto"/>
        <w:jc w:val="right"/>
      </w:pPr>
      <w:r>
        <w:rPr>
          <w:rFonts w:ascii="DejaVu Sans" w:hAnsi="DejaVu Sans" w:eastAsia="DejaVu Sans" w:cs="DejaVu Sans"/>
          <w:sz w:val="22"/>
          <w:szCs w:val="22"/>
          <w:rtl/>
        </w:rPr>
        <w:t>ارتفاع تكلفة البحث والتطوير الداخلي</w:t>
      </w:r>
    </w:p>
    <w:p w14:paraId="52752245">
      <w:pPr>
        <w:pStyle w:val="16"/>
        <w:numPr>
          <w:ilvl w:val="0"/>
          <w:numId w:val="1"/>
        </w:numPr>
        <w:bidi/>
        <w:spacing w:after="100" w:line="290" w:lineRule="auto"/>
        <w:jc w:val="right"/>
      </w:pPr>
      <w:r>
        <w:rPr>
          <w:rFonts w:ascii="DejaVu Sans" w:hAnsi="DejaVu Sans" w:eastAsia="DejaVu Sans" w:cs="DejaVu Sans"/>
          <w:sz w:val="22"/>
          <w:szCs w:val="22"/>
          <w:rtl/>
        </w:rPr>
        <w:t>الحاجة إلى تخصصات متعددة لا تملكها مؤسسة واحدة</w:t>
      </w:r>
    </w:p>
    <w:p w14:paraId="3A0ED359">
      <w:pPr>
        <w:pStyle w:val="16"/>
        <w:numPr>
          <w:ilvl w:val="0"/>
          <w:numId w:val="1"/>
        </w:numPr>
        <w:bidi/>
        <w:spacing w:after="100" w:line="290" w:lineRule="auto"/>
        <w:jc w:val="right"/>
      </w:pPr>
      <w:r>
        <w:rPr>
          <w:rFonts w:ascii="DejaVu Sans" w:hAnsi="DejaVu Sans" w:eastAsia="DejaVu Sans" w:cs="DejaVu Sans"/>
          <w:sz w:val="22"/>
          <w:szCs w:val="22"/>
          <w:rtl/>
        </w:rPr>
        <w:t>صعود الشركات الناشئة كمصدر أفكار سريع</w:t>
      </w:r>
    </w:p>
    <w:p w14:paraId="5D5B4BD9">
      <w:pPr>
        <w:pStyle w:val="16"/>
        <w:numPr>
          <w:ilvl w:val="0"/>
          <w:numId w:val="1"/>
        </w:numPr>
        <w:bidi/>
        <w:spacing w:after="100" w:line="290" w:lineRule="auto"/>
        <w:jc w:val="right"/>
      </w:pPr>
      <w:r>
        <w:rPr>
          <w:rFonts w:ascii="DejaVu Sans" w:hAnsi="DejaVu Sans" w:eastAsia="DejaVu Sans" w:cs="DejaVu Sans"/>
          <w:sz w:val="22"/>
          <w:szCs w:val="22"/>
          <w:rtl/>
        </w:rPr>
        <w:t>قوة المجتمعات والمنصات الرقمية في توليد الحلول</w:t>
      </w:r>
    </w:p>
    <w:p w14:paraId="77F9320A">
      <w:pPr>
        <w:bidi/>
        <w:spacing w:after="160" w:line="300" w:lineRule="auto"/>
        <w:jc w:val="right"/>
      </w:pPr>
      <w:r>
        <w:rPr>
          <w:rFonts w:ascii="DejaVu Sans" w:hAnsi="DejaVu Sans" w:eastAsia="DejaVu Sans" w:cs="DejaVu Sans"/>
          <w:b w:val="0"/>
          <w:bCs w:val="0"/>
          <w:i w:val="0"/>
          <w:iCs w:val="0"/>
          <w:sz w:val="22"/>
          <w:szCs w:val="22"/>
          <w:rtl/>
        </w:rPr>
        <w:t>والنتيجة النهائية كما تختم الشريحة: الانتقال من "الابتكار داخل المؤسسة" إلى "الابتكار مع منظومة الشركاء".</w:t>
      </w:r>
    </w:p>
    <w:p w14:paraId="7A3CE951">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١٠. الابتكار المستمر (Continuous Innovation)</w:t>
      </w:r>
    </w:p>
    <w:p w14:paraId="324C4EC0">
      <w:pPr>
        <w:bidi/>
        <w:spacing w:after="160" w:line="300" w:lineRule="auto"/>
        <w:jc w:val="right"/>
      </w:pPr>
      <w:r>
        <w:rPr>
          <w:rFonts w:ascii="DejaVu Sans" w:hAnsi="DejaVu Sans" w:eastAsia="DejaVu Sans" w:cs="DejaVu Sans"/>
          <w:b w:val="0"/>
          <w:bCs w:val="0"/>
          <w:i w:val="0"/>
          <w:iCs w:val="0"/>
          <w:sz w:val="22"/>
          <w:szCs w:val="22"/>
          <w:rtl/>
        </w:rPr>
        <w:t>هو بناء قدرة تنظيمية تجعل الابتكار والتحسين والتعلّم عملية دائمة، وليس حدثاً لمرة واحدة أو مشروعاً له تاريخ بداية ونهاية. الفارق الجوهري هنا هو التحوّل من عقلية "مشروع الابتكار" إلى عقلية "أسلوب العمل اليومي".</w:t>
      </w:r>
    </w:p>
    <w:p w14:paraId="688FD4C5">
      <w:pPr>
        <w:pStyle w:val="4"/>
        <w:bidi/>
        <w:spacing w:before="200" w:after="100"/>
        <w:jc w:val="right"/>
      </w:pPr>
      <w:r>
        <w:rPr>
          <w:rFonts w:ascii="DejaVu Sans" w:hAnsi="DejaVu Sans" w:eastAsia="DejaVu Sans" w:cs="DejaVu Sans"/>
          <w:b/>
          <w:bCs/>
          <w:color w:val="444444"/>
          <w:sz w:val="23"/>
          <w:szCs w:val="23"/>
          <w:rtl/>
        </w:rPr>
        <w:t>الدورة الأساسية (كما وردت في الشريحة ١٥)</w:t>
      </w:r>
    </w:p>
    <w:p w14:paraId="6A24260B">
      <w:pPr>
        <w:bidi/>
        <w:spacing w:after="160" w:line="300" w:lineRule="auto"/>
        <w:jc w:val="right"/>
      </w:pPr>
      <w:r>
        <w:rPr>
          <w:rFonts w:ascii="DejaVu Sans" w:hAnsi="DejaVu Sans" w:eastAsia="DejaVu Sans" w:cs="DejaVu Sans"/>
          <w:b/>
          <w:bCs/>
          <w:i w:val="0"/>
          <w:iCs w:val="0"/>
          <w:sz w:val="22"/>
          <w:szCs w:val="22"/>
          <w:rtl/>
        </w:rPr>
        <w:t>تحديد المشكلة ← فكرة ← تجربة ← قياس ← تعلّم ← تحسين ← تطبيق ← إعادة الابتكار</w:t>
      </w:r>
    </w:p>
    <w:p w14:paraId="20AAE547">
      <w:pPr>
        <w:pStyle w:val="4"/>
        <w:bidi/>
        <w:spacing w:before="200" w:after="100"/>
        <w:jc w:val="right"/>
      </w:pPr>
      <w:r>
        <w:rPr>
          <w:rFonts w:ascii="DejaVu Sans" w:hAnsi="DejaVu Sans" w:eastAsia="DejaVu Sans" w:cs="DejaVu Sans"/>
          <w:b/>
          <w:bCs/>
          <w:color w:val="444444"/>
          <w:sz w:val="23"/>
          <w:szCs w:val="23"/>
          <w:rtl/>
        </w:rPr>
        <w:t>دورة الابتكار المستمر بتفصيل أكبر (الشريحة ١٦)</w:t>
      </w:r>
    </w:p>
    <w:p w14:paraId="6241D600">
      <w:pPr>
        <w:pStyle w:val="16"/>
        <w:numPr>
          <w:ilvl w:val="0"/>
          <w:numId w:val="1"/>
        </w:numPr>
        <w:bidi/>
        <w:spacing w:after="100" w:line="290" w:lineRule="auto"/>
        <w:jc w:val="right"/>
      </w:pPr>
      <w:r>
        <w:rPr>
          <w:rFonts w:ascii="DejaVu Sans" w:hAnsi="DejaVu Sans" w:eastAsia="DejaVu Sans" w:cs="DejaVu Sans"/>
          <w:sz w:val="22"/>
          <w:szCs w:val="22"/>
          <w:rtl/>
        </w:rPr>
        <w:t>1. المشكلة</w:t>
      </w:r>
    </w:p>
    <w:p w14:paraId="31D5CE55">
      <w:pPr>
        <w:pStyle w:val="16"/>
        <w:numPr>
          <w:ilvl w:val="0"/>
          <w:numId w:val="1"/>
        </w:numPr>
        <w:bidi/>
        <w:spacing w:after="100" w:line="290" w:lineRule="auto"/>
        <w:jc w:val="right"/>
      </w:pPr>
      <w:r>
        <w:rPr>
          <w:rFonts w:ascii="DejaVu Sans" w:hAnsi="DejaVu Sans" w:eastAsia="DejaVu Sans" w:cs="DejaVu Sans"/>
          <w:sz w:val="22"/>
          <w:szCs w:val="22"/>
          <w:rtl/>
        </w:rPr>
        <w:t>2. توليد الأفكار</w:t>
      </w:r>
    </w:p>
    <w:p w14:paraId="7BD05119">
      <w:pPr>
        <w:pStyle w:val="16"/>
        <w:numPr>
          <w:ilvl w:val="0"/>
          <w:numId w:val="1"/>
        </w:numPr>
        <w:bidi/>
        <w:spacing w:after="100" w:line="290" w:lineRule="auto"/>
        <w:jc w:val="right"/>
      </w:pPr>
      <w:r>
        <w:rPr>
          <w:rFonts w:ascii="DejaVu Sans" w:hAnsi="DejaVu Sans" w:eastAsia="DejaVu Sans" w:cs="DejaVu Sans"/>
          <w:sz w:val="22"/>
          <w:szCs w:val="22"/>
          <w:rtl/>
        </w:rPr>
        <w:t>3. اختيار الأولويات</w:t>
      </w:r>
    </w:p>
    <w:p w14:paraId="5BE6866E">
      <w:pPr>
        <w:pStyle w:val="16"/>
        <w:numPr>
          <w:ilvl w:val="0"/>
          <w:numId w:val="1"/>
        </w:numPr>
        <w:bidi/>
        <w:spacing w:after="100" w:line="290" w:lineRule="auto"/>
        <w:jc w:val="right"/>
      </w:pPr>
      <w:r>
        <w:rPr>
          <w:rFonts w:ascii="DejaVu Sans" w:hAnsi="DejaVu Sans" w:eastAsia="DejaVu Sans" w:cs="DejaVu Sans"/>
          <w:sz w:val="22"/>
          <w:szCs w:val="22"/>
          <w:rtl/>
        </w:rPr>
        <w:t>4. نموذج أولي / MVP (الحد الأدنى من المنتج القابل للتطبيق)</w:t>
      </w:r>
    </w:p>
    <w:p w14:paraId="32E2B4D5">
      <w:pPr>
        <w:pStyle w:val="16"/>
        <w:numPr>
          <w:ilvl w:val="0"/>
          <w:numId w:val="1"/>
        </w:numPr>
        <w:bidi/>
        <w:spacing w:after="100" w:line="290" w:lineRule="auto"/>
        <w:jc w:val="right"/>
      </w:pPr>
      <w:r>
        <w:rPr>
          <w:rFonts w:ascii="DejaVu Sans" w:hAnsi="DejaVu Sans" w:eastAsia="DejaVu Sans" w:cs="DejaVu Sans"/>
          <w:sz w:val="22"/>
          <w:szCs w:val="22"/>
          <w:rtl/>
        </w:rPr>
        <w:t>5. الاختبار</w:t>
      </w:r>
    </w:p>
    <w:p w14:paraId="3F59B891">
      <w:pPr>
        <w:pStyle w:val="16"/>
        <w:numPr>
          <w:ilvl w:val="0"/>
          <w:numId w:val="1"/>
        </w:numPr>
        <w:bidi/>
        <w:spacing w:after="100" w:line="290" w:lineRule="auto"/>
        <w:jc w:val="right"/>
      </w:pPr>
      <w:r>
        <w:rPr>
          <w:rFonts w:ascii="DejaVu Sans" w:hAnsi="DejaVu Sans" w:eastAsia="DejaVu Sans" w:cs="DejaVu Sans"/>
          <w:sz w:val="22"/>
          <w:szCs w:val="22"/>
          <w:rtl/>
        </w:rPr>
        <w:t>6. بيانات وتغذية راجعة</w:t>
      </w:r>
    </w:p>
    <w:p w14:paraId="61A4E2C9">
      <w:pPr>
        <w:pStyle w:val="16"/>
        <w:numPr>
          <w:ilvl w:val="0"/>
          <w:numId w:val="1"/>
        </w:numPr>
        <w:bidi/>
        <w:spacing w:after="100" w:line="290" w:lineRule="auto"/>
        <w:jc w:val="right"/>
      </w:pPr>
      <w:r>
        <w:rPr>
          <w:rFonts w:ascii="DejaVu Sans" w:hAnsi="DejaVu Sans" w:eastAsia="DejaVu Sans" w:cs="DejaVu Sans"/>
          <w:sz w:val="22"/>
          <w:szCs w:val="22"/>
          <w:rtl/>
        </w:rPr>
        <w:t>7. تحسين وتوسّع</w:t>
      </w:r>
    </w:p>
    <w:p w14:paraId="558C4817">
      <w:pPr>
        <w:pStyle w:val="16"/>
        <w:numPr>
          <w:ilvl w:val="0"/>
          <w:numId w:val="1"/>
        </w:numPr>
        <w:bidi/>
        <w:spacing w:after="100" w:line="290" w:lineRule="auto"/>
        <w:jc w:val="right"/>
      </w:pPr>
      <w:r>
        <w:rPr>
          <w:rFonts w:ascii="DejaVu Sans" w:hAnsi="DejaVu Sans" w:eastAsia="DejaVu Sans" w:cs="DejaVu Sans"/>
          <w:sz w:val="22"/>
          <w:szCs w:val="22"/>
          <w:rtl/>
        </w:rPr>
        <w:t>8. قياس الأثر</w:t>
      </w:r>
    </w:p>
    <w:p w14:paraId="04E245B4">
      <w:pPr>
        <w:pStyle w:val="16"/>
        <w:numPr>
          <w:ilvl w:val="0"/>
          <w:numId w:val="1"/>
        </w:numPr>
        <w:bidi/>
        <w:spacing w:after="100" w:line="290" w:lineRule="auto"/>
        <w:jc w:val="right"/>
      </w:pPr>
      <w:r>
        <w:rPr>
          <w:rFonts w:ascii="DejaVu Sans" w:hAnsi="DejaVu Sans" w:eastAsia="DejaVu Sans" w:cs="DejaVu Sans"/>
          <w:sz w:val="22"/>
          <w:szCs w:val="22"/>
          <w:rtl/>
        </w:rPr>
        <w:t>9. دورة ابتكار جديدة</w:t>
      </w:r>
    </w:p>
    <w:tbl>
      <w:tblPr>
        <w:tblStyle w:val="9"/>
        <w:bidiVisual/>
        <w:tblW w:w="9700" w:type="dxa"/>
        <w:tblInd w:w="0" w:type="dxa"/>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Layout w:type="autofit"/>
        <w:tblCellMar>
          <w:top w:w="0" w:type="dxa"/>
          <w:left w:w="10" w:type="dxa"/>
          <w:bottom w:w="0" w:type="dxa"/>
          <w:right w:w="10" w:type="dxa"/>
        </w:tblCellMar>
      </w:tblPr>
      <w:tblGrid>
        <w:gridCol w:w="9700"/>
      </w:tblGrid>
      <w:tr w14:paraId="1F6FDB2B">
        <w:tblPrEx>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CellMar>
            <w:top w:w="0" w:type="dxa"/>
            <w:left w:w="10" w:type="dxa"/>
            <w:bottom w:w="0" w:type="dxa"/>
            <w:right w:w="10" w:type="dxa"/>
          </w:tblCellMar>
        </w:tblPrEx>
        <w:tc>
          <w:tcPr>
            <w:tcW w:w="9700" w:type="dxa"/>
            <w:shd w:val="clear" w:color="auto" w:fill="EAF2F8"/>
            <w:tcMar>
              <w:top w:w="150" w:type="dxa"/>
              <w:left w:w="200" w:type="dxa"/>
              <w:bottom w:w="150" w:type="dxa"/>
              <w:right w:w="200" w:type="dxa"/>
            </w:tcMar>
          </w:tcPr>
          <w:p w14:paraId="61FAB41C">
            <w:pPr>
              <w:bidi/>
              <w:spacing w:after="80"/>
              <w:jc w:val="right"/>
            </w:pPr>
            <w:r>
              <w:rPr>
                <w:rFonts w:ascii="DejaVu Sans" w:hAnsi="DejaVu Sans" w:eastAsia="DejaVu Sans" w:cs="DejaVu Sans"/>
                <w:b/>
                <w:bCs/>
                <w:color w:val="1F4E5F"/>
                <w:sz w:val="22"/>
                <w:szCs w:val="22"/>
                <w:rtl/>
              </w:rPr>
              <w:t>🔎 مثال توضيحي</w:t>
            </w:r>
          </w:p>
          <w:p w14:paraId="28FE08CB">
            <w:pPr>
              <w:bidi/>
              <w:spacing w:after="0"/>
              <w:jc w:val="right"/>
            </w:pPr>
            <w:r>
              <w:rPr>
                <w:rFonts w:ascii="DejaVu Sans" w:hAnsi="DejaVu Sans" w:eastAsia="DejaVu Sans" w:cs="DejaVu Sans"/>
                <w:sz w:val="21"/>
                <w:szCs w:val="21"/>
                <w:rtl/>
              </w:rPr>
              <w:t>شركة أمازون تُجري آلاف التجارب A/B على موقعها الإلكتروني شهرياً (تغيير لون زر، ترتيب المنتجات، صياغة العروض)، وتقيس أثر كل تغيير على المبيعات فوراً، ثم تعمّم ما ينجح وتُلغي ما يفشل. هذا مثال حي على "الابتكار كأسلوب عمل دائم" لا كمشروع ينتهي بتسليم نهائي.</w:t>
            </w:r>
          </w:p>
        </w:tc>
      </w:tr>
    </w:tbl>
    <w:p w14:paraId="504E264D">
      <w:pPr>
        <w:pStyle w:val="4"/>
        <w:bidi/>
        <w:spacing w:before="200" w:after="100"/>
        <w:jc w:val="right"/>
      </w:pPr>
      <w:r>
        <w:rPr>
          <w:rFonts w:ascii="DejaVu Sans" w:hAnsi="DejaVu Sans" w:eastAsia="DejaVu Sans" w:cs="DejaVu Sans"/>
          <w:b/>
          <w:bCs/>
          <w:color w:val="444444"/>
          <w:sz w:val="23"/>
          <w:szCs w:val="23"/>
          <w:rtl/>
        </w:rPr>
        <w:t>الابتكار المستمر والاقتصاد الرقمي</w:t>
      </w:r>
    </w:p>
    <w:p w14:paraId="4E0DD97D">
      <w:pPr>
        <w:bidi/>
        <w:spacing w:after="160" w:line="300" w:lineRule="auto"/>
        <w:jc w:val="right"/>
      </w:pPr>
      <w:r>
        <w:rPr>
          <w:rFonts w:ascii="DejaVu Sans" w:hAnsi="DejaVu Sans" w:eastAsia="DejaVu Sans" w:cs="DejaVu Sans"/>
          <w:b w:val="0"/>
          <w:bCs w:val="0"/>
          <w:i w:val="0"/>
          <w:iCs w:val="0"/>
          <w:sz w:val="22"/>
          <w:szCs w:val="22"/>
          <w:rtl/>
        </w:rPr>
        <w:t>تدعم البيئة الرقمية الابتكار المستمر تحديداً بسبب:</w:t>
      </w:r>
    </w:p>
    <w:p w14:paraId="64BBA126">
      <w:pPr>
        <w:pStyle w:val="16"/>
        <w:numPr>
          <w:ilvl w:val="0"/>
          <w:numId w:val="1"/>
        </w:numPr>
        <w:bidi/>
        <w:spacing w:after="100" w:line="290" w:lineRule="auto"/>
        <w:jc w:val="right"/>
      </w:pPr>
      <w:r>
        <w:rPr>
          <w:rFonts w:ascii="DejaVu Sans" w:hAnsi="DejaVu Sans" w:eastAsia="DejaVu Sans" w:cs="DejaVu Sans"/>
          <w:sz w:val="22"/>
          <w:szCs w:val="22"/>
          <w:rtl/>
        </w:rPr>
        <w:t>سرعة جمع البيانات</w:t>
      </w:r>
    </w:p>
    <w:p w14:paraId="762F8304">
      <w:pPr>
        <w:pStyle w:val="16"/>
        <w:numPr>
          <w:ilvl w:val="0"/>
          <w:numId w:val="1"/>
        </w:numPr>
        <w:bidi/>
        <w:spacing w:after="100" w:line="290" w:lineRule="auto"/>
        <w:jc w:val="right"/>
      </w:pPr>
      <w:r>
        <w:rPr>
          <w:rFonts w:ascii="DejaVu Sans" w:hAnsi="DejaVu Sans" w:eastAsia="DejaVu Sans" w:cs="DejaVu Sans"/>
          <w:sz w:val="22"/>
          <w:szCs w:val="22"/>
          <w:rtl/>
        </w:rPr>
        <w:t>انخفاض تكلفة التجربة (مقارنة بالمنتجات المادية)</w:t>
      </w:r>
    </w:p>
    <w:p w14:paraId="33C74B44">
      <w:pPr>
        <w:pStyle w:val="16"/>
        <w:numPr>
          <w:ilvl w:val="0"/>
          <w:numId w:val="1"/>
        </w:numPr>
        <w:bidi/>
        <w:spacing w:after="100" w:line="290" w:lineRule="auto"/>
        <w:jc w:val="right"/>
      </w:pPr>
      <w:r>
        <w:rPr>
          <w:rFonts w:ascii="DejaVu Sans" w:hAnsi="DejaVu Sans" w:eastAsia="DejaVu Sans" w:cs="DejaVu Sans"/>
          <w:sz w:val="22"/>
          <w:szCs w:val="22"/>
          <w:rtl/>
        </w:rPr>
        <w:t>التحليلات المتقدمة</w:t>
      </w:r>
    </w:p>
    <w:p w14:paraId="5DABF316">
      <w:pPr>
        <w:pStyle w:val="16"/>
        <w:numPr>
          <w:ilvl w:val="0"/>
          <w:numId w:val="1"/>
        </w:numPr>
        <w:bidi/>
        <w:spacing w:after="100" w:line="290" w:lineRule="auto"/>
        <w:jc w:val="right"/>
      </w:pPr>
      <w:r>
        <w:rPr>
          <w:rFonts w:ascii="DejaVu Sans" w:hAnsi="DejaVu Sans" w:eastAsia="DejaVu Sans" w:cs="DejaVu Sans"/>
          <w:sz w:val="22"/>
          <w:szCs w:val="22"/>
          <w:rtl/>
        </w:rPr>
        <w:t>الحوسبة السحابية</w:t>
      </w:r>
    </w:p>
    <w:p w14:paraId="67DDB9B2">
      <w:pPr>
        <w:pStyle w:val="16"/>
        <w:numPr>
          <w:ilvl w:val="0"/>
          <w:numId w:val="1"/>
        </w:numPr>
        <w:bidi/>
        <w:spacing w:after="100" w:line="290" w:lineRule="auto"/>
        <w:jc w:val="right"/>
      </w:pPr>
      <w:r>
        <w:rPr>
          <w:rFonts w:ascii="DejaVu Sans" w:hAnsi="DejaVu Sans" w:eastAsia="DejaVu Sans" w:cs="DejaVu Sans"/>
          <w:sz w:val="22"/>
          <w:szCs w:val="22"/>
          <w:rtl/>
        </w:rPr>
        <w:t>الأتمتة</w:t>
      </w:r>
    </w:p>
    <w:p w14:paraId="7BF5C029">
      <w:pPr>
        <w:pStyle w:val="16"/>
        <w:numPr>
          <w:ilvl w:val="0"/>
          <w:numId w:val="1"/>
        </w:numPr>
        <w:bidi/>
        <w:spacing w:after="100" w:line="290" w:lineRule="auto"/>
        <w:jc w:val="right"/>
      </w:pPr>
      <w:r>
        <w:rPr>
          <w:rFonts w:ascii="DejaVu Sans" w:hAnsi="DejaVu Sans" w:eastAsia="DejaVu Sans" w:cs="DejaVu Sans"/>
          <w:sz w:val="22"/>
          <w:szCs w:val="22"/>
          <w:rtl/>
        </w:rPr>
        <w:t>الذكاء الاصطناعي</w:t>
      </w:r>
    </w:p>
    <w:p w14:paraId="4EEF1E4A">
      <w:pPr>
        <w:pStyle w:val="16"/>
        <w:numPr>
          <w:ilvl w:val="0"/>
          <w:numId w:val="1"/>
        </w:numPr>
        <w:bidi/>
        <w:spacing w:after="100" w:line="290" w:lineRule="auto"/>
        <w:jc w:val="right"/>
      </w:pPr>
      <w:r>
        <w:rPr>
          <w:rFonts w:ascii="DejaVu Sans" w:hAnsi="DejaVu Sans" w:eastAsia="DejaVu Sans" w:cs="DejaVu Sans"/>
          <w:sz w:val="22"/>
          <w:szCs w:val="22"/>
          <w:rtl/>
        </w:rPr>
        <w:t>التفاعل المباشر مع المستخدمين</w:t>
      </w:r>
    </w:p>
    <w:p w14:paraId="75146F5B">
      <w:pPr>
        <w:bidi/>
        <w:spacing w:after="160" w:line="300" w:lineRule="auto"/>
        <w:jc w:val="right"/>
      </w:pPr>
      <w:r>
        <w:rPr>
          <w:rFonts w:ascii="DejaVu Sans" w:hAnsi="DejaVu Sans" w:eastAsia="DejaVu Sans" w:cs="DejaVu Sans"/>
          <w:b w:val="0"/>
          <w:bCs w:val="0"/>
          <w:i w:val="0"/>
          <w:iCs w:val="0"/>
          <w:sz w:val="22"/>
          <w:szCs w:val="22"/>
          <w:rtl/>
        </w:rPr>
        <w:t>ولذلك يمكن تطوير المنتج الرقمي عبر دورات قصيرة ومتكررة، على عكس المنتج المادي الذي تكون فيه دورة التصميم والتصنيع وإعادة التصميم أطول وأكلف بكثير.</w:t>
      </w:r>
    </w:p>
    <w:p w14:paraId="50C97305">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١١. الابتكار ونموذج الأعمال</w:t>
      </w:r>
    </w:p>
    <w:p w14:paraId="5D861BB3">
      <w:pPr>
        <w:bidi/>
        <w:spacing w:after="160" w:line="300" w:lineRule="auto"/>
        <w:jc w:val="right"/>
      </w:pPr>
      <w:r>
        <w:rPr>
          <w:rFonts w:ascii="DejaVu Sans" w:hAnsi="DejaVu Sans" w:eastAsia="DejaVu Sans" w:cs="DejaVu Sans"/>
          <w:b w:val="0"/>
          <w:bCs w:val="0"/>
          <w:i w:val="0"/>
          <w:iCs w:val="0"/>
          <w:sz w:val="22"/>
          <w:szCs w:val="22"/>
          <w:rtl/>
        </w:rPr>
        <w:t>رسالة هذا المحور أن الابتكار لا يقتصر على المنتج فقط، بل يمتد إلى أربعة مستويات:</w:t>
      </w:r>
    </w:p>
    <w:p w14:paraId="60766E9A">
      <w:pPr>
        <w:pStyle w:val="16"/>
        <w:numPr>
          <w:ilvl w:val="0"/>
          <w:numId w:val="1"/>
        </w:numPr>
        <w:bidi/>
        <w:spacing w:after="100" w:line="290" w:lineRule="auto"/>
        <w:jc w:val="right"/>
      </w:pPr>
      <w:r>
        <w:rPr>
          <w:rFonts w:ascii="DejaVu Sans" w:hAnsi="DejaVu Sans" w:eastAsia="DejaVu Sans" w:cs="DejaVu Sans"/>
          <w:sz w:val="22"/>
          <w:szCs w:val="22"/>
          <w:rtl/>
        </w:rPr>
        <w:t>ابتكار المنتج</w:t>
      </w:r>
    </w:p>
    <w:p w14:paraId="15508EA7">
      <w:pPr>
        <w:pStyle w:val="16"/>
        <w:numPr>
          <w:ilvl w:val="0"/>
          <w:numId w:val="1"/>
        </w:numPr>
        <w:bidi/>
        <w:spacing w:after="100" w:line="290" w:lineRule="auto"/>
        <w:jc w:val="right"/>
      </w:pPr>
      <w:r>
        <w:rPr>
          <w:rFonts w:ascii="DejaVu Sans" w:hAnsi="DejaVu Sans" w:eastAsia="DejaVu Sans" w:cs="DejaVu Sans"/>
          <w:sz w:val="22"/>
          <w:szCs w:val="22"/>
          <w:rtl/>
        </w:rPr>
        <w:t>ابتكار الخدمة</w:t>
      </w:r>
    </w:p>
    <w:p w14:paraId="080CC7DF">
      <w:pPr>
        <w:pStyle w:val="16"/>
        <w:numPr>
          <w:ilvl w:val="0"/>
          <w:numId w:val="1"/>
        </w:numPr>
        <w:bidi/>
        <w:spacing w:after="100" w:line="290" w:lineRule="auto"/>
        <w:jc w:val="right"/>
      </w:pPr>
      <w:r>
        <w:rPr>
          <w:rFonts w:ascii="DejaVu Sans" w:hAnsi="DejaVu Sans" w:eastAsia="DejaVu Sans" w:cs="DejaVu Sans"/>
          <w:sz w:val="22"/>
          <w:szCs w:val="22"/>
          <w:rtl/>
        </w:rPr>
        <w:t>ابتكار العملية</w:t>
      </w:r>
    </w:p>
    <w:p w14:paraId="01F5C1C9">
      <w:pPr>
        <w:pStyle w:val="16"/>
        <w:numPr>
          <w:ilvl w:val="0"/>
          <w:numId w:val="1"/>
        </w:numPr>
        <w:bidi/>
        <w:spacing w:after="100" w:line="290" w:lineRule="auto"/>
        <w:jc w:val="right"/>
      </w:pPr>
      <w:r>
        <w:rPr>
          <w:rFonts w:ascii="DejaVu Sans" w:hAnsi="DejaVu Sans" w:eastAsia="DejaVu Sans" w:cs="DejaVu Sans"/>
          <w:sz w:val="22"/>
          <w:szCs w:val="22"/>
          <w:rtl/>
        </w:rPr>
        <w:t>ابتكار نموذج الأعمال</w:t>
      </w:r>
    </w:p>
    <w:tbl>
      <w:tblPr>
        <w:tblStyle w:val="9"/>
        <w:bidiVisual/>
        <w:tblW w:w="9700" w:type="dxa"/>
        <w:tblInd w:w="0" w:type="dxa"/>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Layout w:type="autofit"/>
        <w:tblCellMar>
          <w:top w:w="0" w:type="dxa"/>
          <w:left w:w="10" w:type="dxa"/>
          <w:bottom w:w="0" w:type="dxa"/>
          <w:right w:w="10" w:type="dxa"/>
        </w:tblCellMar>
      </w:tblPr>
      <w:tblGrid>
        <w:gridCol w:w="9700"/>
      </w:tblGrid>
      <w:tr w14:paraId="42F96876">
        <w:tblPrEx>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CellMar>
            <w:top w:w="0" w:type="dxa"/>
            <w:left w:w="10" w:type="dxa"/>
            <w:bottom w:w="0" w:type="dxa"/>
            <w:right w:w="10" w:type="dxa"/>
          </w:tblCellMar>
        </w:tblPrEx>
        <w:tc>
          <w:tcPr>
            <w:tcW w:w="9700" w:type="dxa"/>
            <w:shd w:val="clear" w:color="auto" w:fill="EAF2F8"/>
            <w:tcMar>
              <w:top w:w="150" w:type="dxa"/>
              <w:left w:w="200" w:type="dxa"/>
              <w:bottom w:w="150" w:type="dxa"/>
              <w:right w:w="200" w:type="dxa"/>
            </w:tcMar>
          </w:tcPr>
          <w:p w14:paraId="420F45EF">
            <w:pPr>
              <w:bidi/>
              <w:spacing w:after="80"/>
              <w:jc w:val="right"/>
            </w:pPr>
            <w:r>
              <w:rPr>
                <w:rFonts w:ascii="DejaVu Sans" w:hAnsi="DejaVu Sans" w:eastAsia="DejaVu Sans" w:cs="DejaVu Sans"/>
                <w:b/>
                <w:bCs/>
                <w:color w:val="1F4E5F"/>
                <w:sz w:val="22"/>
                <w:szCs w:val="22"/>
                <w:rtl/>
              </w:rPr>
              <w:t>🔎 مثال رقمي (كما ورد في الشريحة)</w:t>
            </w:r>
          </w:p>
          <w:p w14:paraId="2603C596">
            <w:pPr>
              <w:bidi/>
              <w:spacing w:after="0"/>
              <w:jc w:val="right"/>
            </w:pPr>
            <w:r>
              <w:rPr>
                <w:rFonts w:ascii="DejaVu Sans" w:hAnsi="DejaVu Sans" w:eastAsia="DejaVu Sans" w:cs="DejaVu Sans"/>
                <w:sz w:val="21"/>
                <w:szCs w:val="21"/>
                <w:rtl/>
              </w:rPr>
              <w:t>الانتقال من بيع برنامج مرة واحدة (Perpetual License) إلى نموذج الاشتراك الشهري أو السنوي (SaaS). لاحظ أن البرنامج نفسه قد لا يتغيّر تقنياً بشكل جذري، لكن طريقة تسعيره وتقديمه للعميل تغيّرت جذرياً، وهذا بحد ذاته ابتكار في نموذج الأعمال وليس في المنتج. شركة مايكروسوفت مثال كلاسيكي: من بيع نسخ Office على أقراص إلى اشتراك Microsoft 365 الشهري.</w:t>
            </w:r>
          </w:p>
        </w:tc>
      </w:tr>
    </w:tbl>
    <w:p w14:paraId="0BF70CA8">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١٢. دور الذكاء الاصطناعي في الابتكار</w:t>
      </w:r>
    </w:p>
    <w:p w14:paraId="402D1132">
      <w:pPr>
        <w:bidi/>
        <w:spacing w:after="160" w:line="300" w:lineRule="auto"/>
        <w:jc w:val="right"/>
      </w:pPr>
      <w:r>
        <w:rPr>
          <w:rFonts w:ascii="DejaVu Sans" w:hAnsi="DejaVu Sans" w:eastAsia="DejaVu Sans" w:cs="DejaVu Sans"/>
          <w:b w:val="0"/>
          <w:bCs w:val="0"/>
          <w:i w:val="0"/>
          <w:iCs w:val="0"/>
          <w:sz w:val="22"/>
          <w:szCs w:val="22"/>
          <w:rtl/>
        </w:rPr>
        <w:t>تحدد الشريحة أدواراً متعددة للذكاء الاصطناعي كمُمكِّن للابتكار:</w:t>
      </w:r>
    </w:p>
    <w:p w14:paraId="50FBD9EF">
      <w:pPr>
        <w:pStyle w:val="16"/>
        <w:numPr>
          <w:ilvl w:val="0"/>
          <w:numId w:val="1"/>
        </w:numPr>
        <w:bidi/>
        <w:spacing w:after="100" w:line="290" w:lineRule="auto"/>
        <w:jc w:val="right"/>
      </w:pPr>
      <w:r>
        <w:rPr>
          <w:rFonts w:ascii="DejaVu Sans" w:hAnsi="DejaVu Sans" w:eastAsia="DejaVu Sans" w:cs="DejaVu Sans"/>
          <w:sz w:val="22"/>
          <w:szCs w:val="22"/>
          <w:rtl/>
        </w:rPr>
        <w:t>توليد الأفكار والمحتوى الأولي</w:t>
      </w:r>
    </w:p>
    <w:p w14:paraId="0DF3C20D">
      <w:pPr>
        <w:pStyle w:val="16"/>
        <w:numPr>
          <w:ilvl w:val="0"/>
          <w:numId w:val="1"/>
        </w:numPr>
        <w:bidi/>
        <w:spacing w:after="100" w:line="290" w:lineRule="auto"/>
        <w:jc w:val="right"/>
      </w:pPr>
      <w:r>
        <w:rPr>
          <w:rFonts w:ascii="DejaVu Sans" w:hAnsi="DejaVu Sans" w:eastAsia="DejaVu Sans" w:cs="DejaVu Sans"/>
          <w:sz w:val="22"/>
          <w:szCs w:val="22"/>
          <w:rtl/>
        </w:rPr>
        <w:t>تحليل احتياجات العملاء</w:t>
      </w:r>
    </w:p>
    <w:p w14:paraId="792F3696">
      <w:pPr>
        <w:pStyle w:val="16"/>
        <w:numPr>
          <w:ilvl w:val="0"/>
          <w:numId w:val="1"/>
        </w:numPr>
        <w:bidi/>
        <w:spacing w:after="100" w:line="290" w:lineRule="auto"/>
        <w:jc w:val="right"/>
      </w:pPr>
      <w:r>
        <w:rPr>
          <w:rFonts w:ascii="DejaVu Sans" w:hAnsi="DejaVu Sans" w:eastAsia="DejaVu Sans" w:cs="DejaVu Sans"/>
          <w:sz w:val="22"/>
          <w:szCs w:val="22"/>
          <w:rtl/>
        </w:rPr>
        <w:t>اكتشاف الأنماط والاتجاهات في البيانات</w:t>
      </w:r>
    </w:p>
    <w:p w14:paraId="33F5D668">
      <w:pPr>
        <w:pStyle w:val="16"/>
        <w:numPr>
          <w:ilvl w:val="0"/>
          <w:numId w:val="1"/>
        </w:numPr>
        <w:bidi/>
        <w:spacing w:after="100" w:line="290" w:lineRule="auto"/>
        <w:jc w:val="right"/>
      </w:pPr>
      <w:r>
        <w:rPr>
          <w:rFonts w:ascii="DejaVu Sans" w:hAnsi="DejaVu Sans" w:eastAsia="DejaVu Sans" w:cs="DejaVu Sans"/>
          <w:sz w:val="22"/>
          <w:szCs w:val="22"/>
          <w:rtl/>
        </w:rPr>
        <w:t>التنبؤ بالطلب والمخاطر</w:t>
      </w:r>
    </w:p>
    <w:p w14:paraId="411458CA">
      <w:pPr>
        <w:pStyle w:val="16"/>
        <w:numPr>
          <w:ilvl w:val="0"/>
          <w:numId w:val="1"/>
        </w:numPr>
        <w:bidi/>
        <w:spacing w:after="100" w:line="290" w:lineRule="auto"/>
        <w:jc w:val="right"/>
      </w:pPr>
      <w:r>
        <w:rPr>
          <w:rFonts w:ascii="DejaVu Sans" w:hAnsi="DejaVu Sans" w:eastAsia="DejaVu Sans" w:cs="DejaVu Sans"/>
          <w:sz w:val="22"/>
          <w:szCs w:val="22"/>
          <w:rtl/>
        </w:rPr>
        <w:t>تصميم المنتجات والخدمات</w:t>
      </w:r>
    </w:p>
    <w:p w14:paraId="7A02CB0A">
      <w:pPr>
        <w:pStyle w:val="16"/>
        <w:numPr>
          <w:ilvl w:val="0"/>
          <w:numId w:val="1"/>
        </w:numPr>
        <w:bidi/>
        <w:spacing w:after="100" w:line="290" w:lineRule="auto"/>
        <w:jc w:val="right"/>
      </w:pPr>
      <w:r>
        <w:rPr>
          <w:rFonts w:ascii="DejaVu Sans" w:hAnsi="DejaVu Sans" w:eastAsia="DejaVu Sans" w:cs="DejaVu Sans"/>
          <w:sz w:val="22"/>
          <w:szCs w:val="22"/>
          <w:rtl/>
        </w:rPr>
        <w:t>اختبار السيناريوهات المختلفة قبل التنفيذ الفعلي</w:t>
      </w:r>
    </w:p>
    <w:p w14:paraId="377790F9">
      <w:pPr>
        <w:pStyle w:val="16"/>
        <w:numPr>
          <w:ilvl w:val="0"/>
          <w:numId w:val="1"/>
        </w:numPr>
        <w:bidi/>
        <w:spacing w:after="100" w:line="290" w:lineRule="auto"/>
        <w:jc w:val="right"/>
      </w:pPr>
      <w:r>
        <w:rPr>
          <w:rFonts w:ascii="DejaVu Sans" w:hAnsi="DejaVu Sans" w:eastAsia="DejaVu Sans" w:cs="DejaVu Sans"/>
          <w:sz w:val="22"/>
          <w:szCs w:val="22"/>
          <w:rtl/>
        </w:rPr>
        <w:t>أتمتة العمليات</w:t>
      </w:r>
    </w:p>
    <w:p w14:paraId="43697D68">
      <w:pPr>
        <w:bidi/>
        <w:spacing w:after="160" w:line="300" w:lineRule="auto"/>
        <w:jc w:val="right"/>
      </w:pPr>
      <w:r>
        <w:rPr>
          <w:rFonts w:ascii="DejaVu Sans" w:hAnsi="DejaVu Sans" w:eastAsia="DejaVu Sans" w:cs="DejaVu Sans"/>
          <w:b/>
          <w:bCs/>
          <w:sz w:val="22"/>
          <w:szCs w:val="22"/>
          <w:rtl/>
        </w:rPr>
        <w:t xml:space="preserve">الفكرة الجوهرية: </w:t>
      </w:r>
      <w:r>
        <w:rPr>
          <w:rFonts w:ascii="DejaVu Sans" w:hAnsi="DejaVu Sans" w:eastAsia="DejaVu Sans" w:cs="DejaVu Sans"/>
          <w:b w:val="0"/>
          <w:bCs w:val="0"/>
          <w:sz w:val="22"/>
          <w:szCs w:val="22"/>
          <w:rtl/>
        </w:rPr>
        <w:t>الذكاء الاصطناعي يمكن أن يكون محركاً للابتكار، لا مجرد أداة تشغيلية. أي أنه لا يقتصر دوره على تسريع تنفيذ ما هو موجود، بل يمكن أن يقترح حلولاً وأنماطاً جديدة لم يكن الإنسان ليكتشفها بسهولة (مثل اكتشاف بروتين طيّات جديدة عبر AlphaFold، أو توليد تصاميم هندسية غير تقليدية عبر التصميم التوليدي Generative Design).</w:t>
      </w:r>
    </w:p>
    <w:p w14:paraId="51214EC8">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١٣. الابتكار في المشاريع الرقمية</w:t>
      </w:r>
    </w:p>
    <w:p w14:paraId="3C9756D6">
      <w:pPr>
        <w:bidi/>
        <w:spacing w:after="160" w:line="300" w:lineRule="auto"/>
        <w:jc w:val="right"/>
      </w:pPr>
      <w:r>
        <w:rPr>
          <w:rFonts w:ascii="DejaVu Sans" w:hAnsi="DejaVu Sans" w:eastAsia="DejaVu Sans" w:cs="DejaVu Sans"/>
          <w:b w:val="0"/>
          <w:bCs w:val="0"/>
          <w:i w:val="0"/>
          <w:iCs w:val="0"/>
          <w:sz w:val="22"/>
          <w:szCs w:val="22"/>
          <w:rtl/>
        </w:rPr>
        <w:t>تقترح المحاضرة دورة عملية لإدارة الابتكار داخل المشاريع الرقمية تحديداً:</w:t>
      </w:r>
    </w:p>
    <w:p w14:paraId="06DC255E">
      <w:pPr>
        <w:bidi/>
        <w:spacing w:after="160" w:line="300" w:lineRule="auto"/>
        <w:jc w:val="right"/>
      </w:pPr>
      <w:r>
        <w:rPr>
          <w:rFonts w:ascii="DejaVu Sans" w:hAnsi="DejaVu Sans" w:eastAsia="DejaVu Sans" w:cs="DejaVu Sans"/>
          <w:b/>
          <w:bCs/>
          <w:i w:val="0"/>
          <w:iCs w:val="0"/>
          <w:sz w:val="22"/>
          <w:szCs w:val="22"/>
          <w:rtl/>
        </w:rPr>
        <w:t>Problem → Idea → Prototype → MVP → Test → Data → Improve → Scale</w:t>
      </w:r>
    </w:p>
    <w:p w14:paraId="16A41952">
      <w:pPr>
        <w:bidi/>
        <w:spacing w:after="160" w:line="300" w:lineRule="auto"/>
        <w:jc w:val="right"/>
      </w:pPr>
      <w:r>
        <w:rPr>
          <w:rFonts w:ascii="DejaVu Sans" w:hAnsi="DejaVu Sans" w:eastAsia="DejaVu Sans" w:cs="DejaVu Sans"/>
          <w:b w:val="0"/>
          <w:bCs w:val="0"/>
          <w:i w:val="0"/>
          <w:iCs w:val="0"/>
          <w:sz w:val="22"/>
          <w:szCs w:val="22"/>
          <w:rtl/>
        </w:rPr>
        <w:t>والمبدأ الأساسي هنا: لا تنتظر اكتمال المنتج قبل التعلّم من السوق؛ بل اختبر الفرضيات مبكراً وبكلفة محسوبة. هذا هو جوهر منهجيات مثل Lean Startup التي تنادي ببناء نموذج أولي بسيط (MVP) واختباره مع مستخدمين حقيقيين، بدل قضاء أشهر في بناء منتج متكامل قد يتضح لاحقاً أن السوق لا يريده أصلاً.</w:t>
      </w:r>
    </w:p>
    <w:p w14:paraId="098FBE26">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١٤. حالة تطبيقية: مصرف رقمي</w:t>
      </w:r>
    </w:p>
    <w:p w14:paraId="6050E502">
      <w:pPr>
        <w:bidi/>
        <w:spacing w:after="160" w:line="300" w:lineRule="auto"/>
        <w:jc w:val="right"/>
      </w:pPr>
      <w:r>
        <w:rPr>
          <w:rFonts w:ascii="DejaVu Sans" w:hAnsi="DejaVu Sans" w:eastAsia="DejaVu Sans" w:cs="DejaVu Sans"/>
          <w:b w:val="0"/>
          <w:bCs w:val="0"/>
          <w:i w:val="0"/>
          <w:iCs w:val="0"/>
          <w:sz w:val="22"/>
          <w:szCs w:val="22"/>
          <w:rtl/>
        </w:rPr>
        <w:t>تقدّم المحاضرة مثالاً متكاملاً يوضّح كيف يمكن أن تتداخل النماذج الأربعة (جذري، تدريجي، مفتوح، مستمر) ضمن مسار تطوري واحد لمؤسسة واحدة:</w:t>
      </w:r>
    </w:p>
    <w:tbl>
      <w:tblPr>
        <w:tblStyle w:val="9"/>
        <w:bidiVisual/>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5BCBE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0" w:type="dxa"/>
            <w:shd w:val="clear" w:color="auto" w:fill="1F4E5F"/>
            <w:tcMar>
              <w:top w:w="100" w:type="dxa"/>
              <w:left w:w="120" w:type="dxa"/>
              <w:bottom w:w="100" w:type="dxa"/>
              <w:right w:w="120" w:type="dxa"/>
            </w:tcMar>
          </w:tcPr>
          <w:p w14:paraId="216519D8">
            <w:pPr>
              <w:bidi/>
              <w:jc w:val="center"/>
            </w:pPr>
            <w:r>
              <w:rPr>
                <w:rFonts w:ascii="DejaVu Sans" w:hAnsi="DejaVu Sans" w:eastAsia="DejaVu Sans" w:cs="DejaVu Sans"/>
                <w:b/>
                <w:bCs/>
                <w:color w:val="FFFFFF"/>
                <w:sz w:val="21"/>
                <w:szCs w:val="21"/>
                <w:rtl/>
              </w:rPr>
              <w:t>المرحلة</w:t>
            </w:r>
          </w:p>
        </w:tc>
        <w:tc>
          <w:tcPr>
            <w:tcW w:w="3000" w:type="dxa"/>
            <w:shd w:val="clear" w:color="auto" w:fill="1F4E5F"/>
            <w:tcMar>
              <w:top w:w="100" w:type="dxa"/>
              <w:left w:w="120" w:type="dxa"/>
              <w:bottom w:w="100" w:type="dxa"/>
              <w:right w:w="120" w:type="dxa"/>
            </w:tcMar>
          </w:tcPr>
          <w:p w14:paraId="4E66B1E8">
            <w:pPr>
              <w:bidi/>
              <w:jc w:val="center"/>
            </w:pPr>
            <w:r>
              <w:rPr>
                <w:rFonts w:ascii="DejaVu Sans" w:hAnsi="DejaVu Sans" w:eastAsia="DejaVu Sans" w:cs="DejaVu Sans"/>
                <w:b/>
                <w:bCs/>
                <w:color w:val="FFFFFF"/>
                <w:sz w:val="21"/>
                <w:szCs w:val="21"/>
                <w:rtl/>
              </w:rPr>
              <w:t>النوع</w:t>
            </w:r>
          </w:p>
        </w:tc>
        <w:tc>
          <w:tcPr>
            <w:tcW w:w="3000" w:type="dxa"/>
            <w:shd w:val="clear" w:color="auto" w:fill="1F4E5F"/>
            <w:tcMar>
              <w:top w:w="100" w:type="dxa"/>
              <w:left w:w="120" w:type="dxa"/>
              <w:bottom w:w="100" w:type="dxa"/>
              <w:right w:w="120" w:type="dxa"/>
            </w:tcMar>
          </w:tcPr>
          <w:p w14:paraId="7998D128">
            <w:pPr>
              <w:bidi/>
              <w:jc w:val="center"/>
            </w:pPr>
            <w:r>
              <w:rPr>
                <w:rFonts w:ascii="DejaVu Sans" w:hAnsi="DejaVu Sans" w:eastAsia="DejaVu Sans" w:cs="DejaVu Sans"/>
                <w:b/>
                <w:bCs/>
                <w:color w:val="FFFFFF"/>
                <w:sz w:val="21"/>
                <w:szCs w:val="21"/>
                <w:rtl/>
              </w:rPr>
              <w:t>الوصف</w:t>
            </w:r>
          </w:p>
        </w:tc>
      </w:tr>
      <w:tr w14:paraId="07718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30ED728C">
            <w:pPr>
              <w:bidi/>
              <w:jc w:val="right"/>
            </w:pPr>
            <w:r>
              <w:rPr>
                <w:rFonts w:ascii="DejaVu Sans" w:hAnsi="DejaVu Sans" w:eastAsia="DejaVu Sans" w:cs="DejaVu Sans"/>
                <w:sz w:val="21"/>
                <w:szCs w:val="21"/>
                <w:rtl/>
              </w:rPr>
              <w:t>المرحلة ١</w:t>
            </w:r>
          </w:p>
        </w:tc>
        <w:tc>
          <w:tcPr>
            <w:tcW w:w="3000" w:type="dxa"/>
            <w:shd w:val="clear" w:color="auto" w:fill="FFFFFF"/>
            <w:tcMar>
              <w:top w:w="100" w:type="dxa"/>
              <w:left w:w="120" w:type="dxa"/>
              <w:bottom w:w="100" w:type="dxa"/>
              <w:right w:w="120" w:type="dxa"/>
            </w:tcMar>
          </w:tcPr>
          <w:p w14:paraId="579A8974">
            <w:pPr>
              <w:bidi/>
              <w:jc w:val="right"/>
            </w:pPr>
            <w:r>
              <w:rPr>
                <w:rFonts w:ascii="DejaVu Sans" w:hAnsi="DejaVu Sans" w:eastAsia="DejaVu Sans" w:cs="DejaVu Sans"/>
                <w:sz w:val="21"/>
                <w:szCs w:val="21"/>
                <w:rtl/>
              </w:rPr>
              <w:t>تدريجي</w:t>
            </w:r>
          </w:p>
        </w:tc>
        <w:tc>
          <w:tcPr>
            <w:tcW w:w="3000" w:type="dxa"/>
            <w:shd w:val="clear" w:color="auto" w:fill="FFFFFF"/>
            <w:tcMar>
              <w:top w:w="100" w:type="dxa"/>
              <w:left w:w="120" w:type="dxa"/>
              <w:bottom w:w="100" w:type="dxa"/>
              <w:right w:w="120" w:type="dxa"/>
            </w:tcMar>
          </w:tcPr>
          <w:p w14:paraId="795AB5B9">
            <w:pPr>
              <w:bidi/>
              <w:jc w:val="right"/>
            </w:pPr>
            <w:r>
              <w:rPr>
                <w:rFonts w:ascii="DejaVu Sans" w:hAnsi="DejaVu Sans" w:eastAsia="DejaVu Sans" w:cs="DejaVu Sans"/>
                <w:sz w:val="21"/>
                <w:szCs w:val="21"/>
                <w:rtl/>
              </w:rPr>
              <w:t>تحسين التطبيق المصرفي الحالي والدفع الإلكتروني</w:t>
            </w:r>
          </w:p>
        </w:tc>
      </w:tr>
      <w:tr w14:paraId="02469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7FB"/>
            <w:tcMar>
              <w:top w:w="100" w:type="dxa"/>
              <w:left w:w="120" w:type="dxa"/>
              <w:bottom w:w="100" w:type="dxa"/>
              <w:right w:w="120" w:type="dxa"/>
            </w:tcMar>
          </w:tcPr>
          <w:p w14:paraId="5E0D7DE9">
            <w:pPr>
              <w:bidi/>
              <w:jc w:val="right"/>
            </w:pPr>
            <w:r>
              <w:rPr>
                <w:rFonts w:ascii="DejaVu Sans" w:hAnsi="DejaVu Sans" w:eastAsia="DejaVu Sans" w:cs="DejaVu Sans"/>
                <w:sz w:val="21"/>
                <w:szCs w:val="21"/>
                <w:rtl/>
              </w:rPr>
              <w:t>المرحلة ٢</w:t>
            </w:r>
          </w:p>
        </w:tc>
        <w:tc>
          <w:tcPr>
            <w:tcW w:w="3000" w:type="dxa"/>
            <w:shd w:val="clear" w:color="auto" w:fill="F2F7FB"/>
            <w:tcMar>
              <w:top w:w="100" w:type="dxa"/>
              <w:left w:w="120" w:type="dxa"/>
              <w:bottom w:w="100" w:type="dxa"/>
              <w:right w:w="120" w:type="dxa"/>
            </w:tcMar>
          </w:tcPr>
          <w:p w14:paraId="32B7D254">
            <w:pPr>
              <w:bidi/>
              <w:jc w:val="right"/>
            </w:pPr>
            <w:r>
              <w:rPr>
                <w:rFonts w:ascii="DejaVu Sans" w:hAnsi="DejaVu Sans" w:eastAsia="DejaVu Sans" w:cs="DejaVu Sans"/>
                <w:sz w:val="21"/>
                <w:szCs w:val="21"/>
                <w:rtl/>
              </w:rPr>
              <w:t>مفتوح</w:t>
            </w:r>
          </w:p>
        </w:tc>
        <w:tc>
          <w:tcPr>
            <w:tcW w:w="3000" w:type="dxa"/>
            <w:shd w:val="clear" w:color="auto" w:fill="F2F7FB"/>
            <w:tcMar>
              <w:top w:w="100" w:type="dxa"/>
              <w:left w:w="120" w:type="dxa"/>
              <w:bottom w:w="100" w:type="dxa"/>
              <w:right w:w="120" w:type="dxa"/>
            </w:tcMar>
          </w:tcPr>
          <w:p w14:paraId="47F634F1">
            <w:pPr>
              <w:bidi/>
              <w:jc w:val="right"/>
            </w:pPr>
            <w:r>
              <w:rPr>
                <w:rFonts w:ascii="DejaVu Sans" w:hAnsi="DejaVu Sans" w:eastAsia="DejaVu Sans" w:cs="DejaVu Sans"/>
                <w:sz w:val="21"/>
                <w:szCs w:val="21"/>
                <w:rtl/>
              </w:rPr>
              <w:t>شراكة مع شركة FinTech وجامعة وشركة تحليل بيانات</w:t>
            </w:r>
          </w:p>
        </w:tc>
      </w:tr>
      <w:tr w14:paraId="5B8F2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100" w:type="dxa"/>
              <w:left w:w="120" w:type="dxa"/>
              <w:bottom w:w="100" w:type="dxa"/>
              <w:right w:w="120" w:type="dxa"/>
            </w:tcMar>
          </w:tcPr>
          <w:p w14:paraId="5AB12F11">
            <w:pPr>
              <w:bidi/>
              <w:jc w:val="right"/>
            </w:pPr>
            <w:r>
              <w:rPr>
                <w:rFonts w:ascii="DejaVu Sans" w:hAnsi="DejaVu Sans" w:eastAsia="DejaVu Sans" w:cs="DejaVu Sans"/>
                <w:sz w:val="21"/>
                <w:szCs w:val="21"/>
                <w:rtl/>
              </w:rPr>
              <w:t>المرحلة ٣</w:t>
            </w:r>
          </w:p>
        </w:tc>
        <w:tc>
          <w:tcPr>
            <w:tcW w:w="3000" w:type="dxa"/>
            <w:shd w:val="clear" w:color="auto" w:fill="FFFFFF"/>
            <w:tcMar>
              <w:top w:w="100" w:type="dxa"/>
              <w:left w:w="120" w:type="dxa"/>
              <w:bottom w:w="100" w:type="dxa"/>
              <w:right w:w="120" w:type="dxa"/>
            </w:tcMar>
          </w:tcPr>
          <w:p w14:paraId="0301D5A5">
            <w:pPr>
              <w:bidi/>
              <w:jc w:val="right"/>
            </w:pPr>
            <w:r>
              <w:rPr>
                <w:rFonts w:ascii="DejaVu Sans" w:hAnsi="DejaVu Sans" w:eastAsia="DejaVu Sans" w:cs="DejaVu Sans"/>
                <w:sz w:val="21"/>
                <w:szCs w:val="21"/>
                <w:rtl/>
              </w:rPr>
              <w:t>جذري</w:t>
            </w:r>
          </w:p>
        </w:tc>
        <w:tc>
          <w:tcPr>
            <w:tcW w:w="3000" w:type="dxa"/>
            <w:shd w:val="clear" w:color="auto" w:fill="FFFFFF"/>
            <w:tcMar>
              <w:top w:w="100" w:type="dxa"/>
              <w:left w:w="120" w:type="dxa"/>
              <w:bottom w:w="100" w:type="dxa"/>
              <w:right w:w="120" w:type="dxa"/>
            </w:tcMar>
          </w:tcPr>
          <w:p w14:paraId="04A6A22D">
            <w:pPr>
              <w:bidi/>
              <w:jc w:val="right"/>
            </w:pPr>
            <w:r>
              <w:rPr>
                <w:rFonts w:ascii="DejaVu Sans" w:hAnsi="DejaVu Sans" w:eastAsia="DejaVu Sans" w:cs="DejaVu Sans"/>
                <w:sz w:val="21"/>
                <w:szCs w:val="21"/>
                <w:rtl/>
              </w:rPr>
              <w:t>نموذج مصرف رقمي كامل يعتمد على الذكاء الاصطناعي والخدمات السحابية</w:t>
            </w:r>
          </w:p>
        </w:tc>
      </w:tr>
      <w:tr w14:paraId="7E1ED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7FB"/>
            <w:tcMar>
              <w:top w:w="100" w:type="dxa"/>
              <w:left w:w="120" w:type="dxa"/>
              <w:bottom w:w="100" w:type="dxa"/>
              <w:right w:w="120" w:type="dxa"/>
            </w:tcMar>
          </w:tcPr>
          <w:p w14:paraId="7DAD1389">
            <w:pPr>
              <w:bidi/>
              <w:jc w:val="right"/>
            </w:pPr>
            <w:r>
              <w:rPr>
                <w:rFonts w:ascii="DejaVu Sans" w:hAnsi="DejaVu Sans" w:eastAsia="DejaVu Sans" w:cs="DejaVu Sans"/>
                <w:sz w:val="21"/>
                <w:szCs w:val="21"/>
                <w:rtl/>
              </w:rPr>
              <w:t>المرحلة ٤</w:t>
            </w:r>
          </w:p>
        </w:tc>
        <w:tc>
          <w:tcPr>
            <w:tcW w:w="3000" w:type="dxa"/>
            <w:shd w:val="clear" w:color="auto" w:fill="F2F7FB"/>
            <w:tcMar>
              <w:top w:w="100" w:type="dxa"/>
              <w:left w:w="120" w:type="dxa"/>
              <w:bottom w:w="100" w:type="dxa"/>
              <w:right w:w="120" w:type="dxa"/>
            </w:tcMar>
          </w:tcPr>
          <w:p w14:paraId="7915FB76">
            <w:pPr>
              <w:bidi/>
              <w:jc w:val="right"/>
            </w:pPr>
            <w:r>
              <w:rPr>
                <w:rFonts w:ascii="DejaVu Sans" w:hAnsi="DejaVu Sans" w:eastAsia="DejaVu Sans" w:cs="DejaVu Sans"/>
                <w:sz w:val="21"/>
                <w:szCs w:val="21"/>
                <w:rtl/>
              </w:rPr>
              <w:t>مستمر</w:t>
            </w:r>
          </w:p>
        </w:tc>
        <w:tc>
          <w:tcPr>
            <w:tcW w:w="3000" w:type="dxa"/>
            <w:shd w:val="clear" w:color="auto" w:fill="F2F7FB"/>
            <w:tcMar>
              <w:top w:w="100" w:type="dxa"/>
              <w:left w:w="120" w:type="dxa"/>
              <w:bottom w:w="100" w:type="dxa"/>
              <w:right w:w="120" w:type="dxa"/>
            </w:tcMar>
          </w:tcPr>
          <w:p w14:paraId="60DBB57A">
            <w:pPr>
              <w:bidi/>
              <w:jc w:val="right"/>
            </w:pPr>
            <w:r>
              <w:rPr>
                <w:rFonts w:ascii="DejaVu Sans" w:hAnsi="DejaVu Sans" w:eastAsia="DejaVu Sans" w:cs="DejaVu Sans"/>
                <w:sz w:val="21"/>
                <w:szCs w:val="21"/>
                <w:rtl/>
              </w:rPr>
              <w:t>قياس الاستخدام وتحليل البيانات وتحسين الخدمات بشكل متكرر</w:t>
            </w:r>
          </w:p>
        </w:tc>
      </w:tr>
    </w:tbl>
    <w:p w14:paraId="6871AA4E">
      <w:pPr>
        <w:spacing w:after="60"/>
      </w:pPr>
    </w:p>
    <w:tbl>
      <w:tblPr>
        <w:tblStyle w:val="9"/>
        <w:bidiVisual/>
        <w:tblW w:w="9700" w:type="dxa"/>
        <w:tblInd w:w="0" w:type="dxa"/>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Layout w:type="autofit"/>
        <w:tblCellMar>
          <w:top w:w="0" w:type="dxa"/>
          <w:left w:w="10" w:type="dxa"/>
          <w:bottom w:w="0" w:type="dxa"/>
          <w:right w:w="10" w:type="dxa"/>
        </w:tblCellMar>
      </w:tblPr>
      <w:tblGrid>
        <w:gridCol w:w="9700"/>
      </w:tblGrid>
      <w:tr w14:paraId="26EFC2A5">
        <w:tblPrEx>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CellMar>
            <w:top w:w="0" w:type="dxa"/>
            <w:left w:w="10" w:type="dxa"/>
            <w:bottom w:w="0" w:type="dxa"/>
            <w:right w:w="10" w:type="dxa"/>
          </w:tblCellMar>
        </w:tblPrEx>
        <w:tc>
          <w:tcPr>
            <w:tcW w:w="9700" w:type="dxa"/>
            <w:shd w:val="clear" w:color="auto" w:fill="EAF2F8"/>
            <w:tcMar>
              <w:top w:w="150" w:type="dxa"/>
              <w:left w:w="200" w:type="dxa"/>
              <w:bottom w:w="150" w:type="dxa"/>
              <w:right w:w="200" w:type="dxa"/>
            </w:tcMar>
          </w:tcPr>
          <w:p w14:paraId="28E8C718">
            <w:pPr>
              <w:bidi/>
              <w:spacing w:after="80"/>
              <w:jc w:val="right"/>
            </w:pPr>
            <w:r>
              <w:rPr>
                <w:rFonts w:ascii="DejaVu Sans" w:hAnsi="DejaVu Sans" w:eastAsia="DejaVu Sans" w:cs="DejaVu Sans"/>
                <w:b/>
                <w:bCs/>
                <w:color w:val="1F4E5F"/>
                <w:sz w:val="22"/>
                <w:szCs w:val="22"/>
                <w:rtl/>
              </w:rPr>
              <w:t>🔎 ملاحظة تطبيقية للسياق العراقي</w:t>
            </w:r>
          </w:p>
          <w:p w14:paraId="6173F835">
            <w:pPr>
              <w:bidi/>
              <w:spacing w:after="0"/>
              <w:jc w:val="right"/>
            </w:pPr>
            <w:r>
              <w:rPr>
                <w:rFonts w:ascii="DejaVu Sans" w:hAnsi="DejaVu Sans" w:eastAsia="DejaVu Sans" w:cs="DejaVu Sans"/>
                <w:sz w:val="21"/>
                <w:szCs w:val="21"/>
                <w:rtl/>
              </w:rPr>
              <w:t>هذا المسار قابل للإسقاط على المصارف العراقية التي بدأت بخطوات تدريجية (تطبيقات الدفع الإلكتروني ومحافظ مثل زين كاش وآسياسيل)، ويمكن أن تنتقل تدريجياً نحو شراكات مفتوحة مع شركات التقنية المالية والجامعات المحلية، تمهيداً لبناء نماذج مصرفية رقمية أكثر تطوراً مستقبلاً.</w:t>
            </w:r>
          </w:p>
        </w:tc>
      </w:tr>
    </w:tbl>
    <w:p w14:paraId="61340943">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١٥. منظومة الابتكار في المؤسسة</w:t>
      </w:r>
    </w:p>
    <w:p w14:paraId="296BCDB9">
      <w:pPr>
        <w:bidi/>
        <w:spacing w:after="160" w:line="300" w:lineRule="auto"/>
        <w:jc w:val="right"/>
      </w:pPr>
      <w:r>
        <w:rPr>
          <w:rFonts w:ascii="DejaVu Sans" w:hAnsi="DejaVu Sans" w:eastAsia="DejaVu Sans" w:cs="DejaVu Sans"/>
          <w:b w:val="0"/>
          <w:bCs w:val="0"/>
          <w:i w:val="0"/>
          <w:iCs w:val="0"/>
          <w:sz w:val="22"/>
          <w:szCs w:val="22"/>
          <w:rtl/>
        </w:rPr>
        <w:t>تعرض الشريحة تسلسلاً هرمياً يوضّح كيف تتحول القيادة في نهاية المطاف إلى قيمة وميزة تنافسية عبر سلسلة من المكوّنات المتتابعة:</w:t>
      </w:r>
    </w:p>
    <w:p w14:paraId="4376ED54">
      <w:pPr>
        <w:pStyle w:val="16"/>
        <w:numPr>
          <w:ilvl w:val="0"/>
          <w:numId w:val="1"/>
        </w:numPr>
        <w:bidi/>
        <w:spacing w:after="100" w:line="290" w:lineRule="auto"/>
        <w:jc w:val="right"/>
      </w:pPr>
      <w:r>
        <w:rPr>
          <w:rFonts w:ascii="DejaVu Sans" w:hAnsi="DejaVu Sans" w:eastAsia="DejaVu Sans" w:cs="DejaVu Sans"/>
          <w:sz w:val="22"/>
          <w:szCs w:val="22"/>
          <w:rtl/>
        </w:rPr>
        <w:t>1. القيادة</w:t>
      </w:r>
    </w:p>
    <w:p w14:paraId="240C14B4">
      <w:pPr>
        <w:pStyle w:val="16"/>
        <w:numPr>
          <w:ilvl w:val="0"/>
          <w:numId w:val="1"/>
        </w:numPr>
        <w:bidi/>
        <w:spacing w:after="100" w:line="290" w:lineRule="auto"/>
        <w:jc w:val="right"/>
      </w:pPr>
      <w:r>
        <w:rPr>
          <w:rFonts w:ascii="DejaVu Sans" w:hAnsi="DejaVu Sans" w:eastAsia="DejaVu Sans" w:cs="DejaVu Sans"/>
          <w:sz w:val="22"/>
          <w:szCs w:val="22"/>
          <w:rtl/>
        </w:rPr>
        <w:t>2. الاستراتيجية</w:t>
      </w:r>
    </w:p>
    <w:p w14:paraId="0F68CD19">
      <w:pPr>
        <w:pStyle w:val="16"/>
        <w:numPr>
          <w:ilvl w:val="0"/>
          <w:numId w:val="1"/>
        </w:numPr>
        <w:bidi/>
        <w:spacing w:after="100" w:line="290" w:lineRule="auto"/>
        <w:jc w:val="right"/>
      </w:pPr>
      <w:r>
        <w:rPr>
          <w:rFonts w:ascii="DejaVu Sans" w:hAnsi="DejaVu Sans" w:eastAsia="DejaVu Sans" w:cs="DejaVu Sans"/>
          <w:sz w:val="22"/>
          <w:szCs w:val="22"/>
          <w:rtl/>
        </w:rPr>
        <w:t>3. الثقافة التنظيمية</w:t>
      </w:r>
    </w:p>
    <w:p w14:paraId="5861CE10">
      <w:pPr>
        <w:pStyle w:val="16"/>
        <w:numPr>
          <w:ilvl w:val="0"/>
          <w:numId w:val="1"/>
        </w:numPr>
        <w:bidi/>
        <w:spacing w:after="100" w:line="290" w:lineRule="auto"/>
        <w:jc w:val="right"/>
      </w:pPr>
      <w:r>
        <w:rPr>
          <w:rFonts w:ascii="DejaVu Sans" w:hAnsi="DejaVu Sans" w:eastAsia="DejaVu Sans" w:cs="DejaVu Sans"/>
          <w:sz w:val="22"/>
          <w:szCs w:val="22"/>
          <w:rtl/>
        </w:rPr>
        <w:t>4. المعرفة والبيانات</w:t>
      </w:r>
    </w:p>
    <w:p w14:paraId="76A8B604">
      <w:pPr>
        <w:pStyle w:val="16"/>
        <w:numPr>
          <w:ilvl w:val="0"/>
          <w:numId w:val="1"/>
        </w:numPr>
        <w:bidi/>
        <w:spacing w:after="100" w:line="290" w:lineRule="auto"/>
        <w:jc w:val="right"/>
      </w:pPr>
      <w:r>
        <w:rPr>
          <w:rFonts w:ascii="DejaVu Sans" w:hAnsi="DejaVu Sans" w:eastAsia="DejaVu Sans" w:cs="DejaVu Sans"/>
          <w:sz w:val="22"/>
          <w:szCs w:val="22"/>
          <w:rtl/>
        </w:rPr>
        <w:t>5. الموارد والتكنولوجيا</w:t>
      </w:r>
    </w:p>
    <w:p w14:paraId="705FB53A">
      <w:pPr>
        <w:pStyle w:val="16"/>
        <w:numPr>
          <w:ilvl w:val="0"/>
          <w:numId w:val="1"/>
        </w:numPr>
        <w:bidi/>
        <w:spacing w:after="100" w:line="290" w:lineRule="auto"/>
        <w:jc w:val="right"/>
      </w:pPr>
      <w:r>
        <w:rPr>
          <w:rFonts w:ascii="DejaVu Sans" w:hAnsi="DejaVu Sans" w:eastAsia="DejaVu Sans" w:cs="DejaVu Sans"/>
          <w:sz w:val="22"/>
          <w:szCs w:val="22"/>
          <w:rtl/>
        </w:rPr>
        <w:t>6. الشراكات</w:t>
      </w:r>
    </w:p>
    <w:p w14:paraId="0E0732FD">
      <w:pPr>
        <w:pStyle w:val="16"/>
        <w:numPr>
          <w:ilvl w:val="0"/>
          <w:numId w:val="1"/>
        </w:numPr>
        <w:bidi/>
        <w:spacing w:after="100" w:line="290" w:lineRule="auto"/>
        <w:jc w:val="right"/>
      </w:pPr>
      <w:r>
        <w:rPr>
          <w:rFonts w:ascii="DejaVu Sans" w:hAnsi="DejaVu Sans" w:eastAsia="DejaVu Sans" w:cs="DejaVu Sans"/>
          <w:sz w:val="22"/>
          <w:szCs w:val="22"/>
          <w:rtl/>
        </w:rPr>
        <w:t>7. التجريب وإدارة المشاريع</w:t>
      </w:r>
    </w:p>
    <w:p w14:paraId="3740EC4F">
      <w:pPr>
        <w:pStyle w:val="16"/>
        <w:numPr>
          <w:ilvl w:val="0"/>
          <w:numId w:val="1"/>
        </w:numPr>
        <w:bidi/>
        <w:spacing w:after="100" w:line="290" w:lineRule="auto"/>
        <w:jc w:val="right"/>
      </w:pPr>
      <w:r>
        <w:rPr>
          <w:rFonts w:ascii="DejaVu Sans" w:hAnsi="DejaVu Sans" w:eastAsia="DejaVu Sans" w:cs="DejaVu Sans"/>
          <w:sz w:val="22"/>
          <w:szCs w:val="22"/>
          <w:rtl/>
        </w:rPr>
        <w:t>8. القيمة والميزة التنافسية</w:t>
      </w:r>
    </w:p>
    <w:p w14:paraId="38AAB766">
      <w:pPr>
        <w:bidi/>
        <w:spacing w:after="160" w:line="300" w:lineRule="auto"/>
        <w:jc w:val="right"/>
      </w:pPr>
      <w:r>
        <w:rPr>
          <w:rFonts w:ascii="DejaVu Sans" w:hAnsi="DejaVu Sans" w:eastAsia="DejaVu Sans" w:cs="DejaVu Sans"/>
          <w:b w:val="0"/>
          <w:bCs w:val="0"/>
          <w:i w:val="0"/>
          <w:iCs w:val="0"/>
          <w:sz w:val="22"/>
          <w:szCs w:val="22"/>
          <w:rtl/>
        </w:rPr>
        <w:t>الرسالة الضمنية في هذا التسلسل أن الابتكار لا ينبع من التكنولوجيا وحدها، بل يبدأ من القيادة والثقافة التنظيمية الداعمة للتجريب، وينتهي بقيمة فعلية في السوق.</w:t>
      </w:r>
    </w:p>
    <w:p w14:paraId="75EB3D95">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١٦. شروط نجاح الابتكار</w:t>
      </w:r>
    </w:p>
    <w:p w14:paraId="104F4A9A">
      <w:pPr>
        <w:pStyle w:val="16"/>
        <w:numPr>
          <w:ilvl w:val="0"/>
          <w:numId w:val="1"/>
        </w:numPr>
        <w:bidi/>
        <w:spacing w:after="100" w:line="290" w:lineRule="auto"/>
        <w:jc w:val="right"/>
      </w:pPr>
      <w:r>
        <w:rPr>
          <w:rFonts w:ascii="DejaVu Sans" w:hAnsi="DejaVu Sans" w:eastAsia="DejaVu Sans" w:cs="DejaVu Sans"/>
          <w:sz w:val="22"/>
          <w:szCs w:val="22"/>
          <w:rtl/>
        </w:rPr>
        <w:t>قيادة داعمة</w:t>
      </w:r>
    </w:p>
    <w:p w14:paraId="4D9B8E7F">
      <w:pPr>
        <w:pStyle w:val="16"/>
        <w:numPr>
          <w:ilvl w:val="0"/>
          <w:numId w:val="1"/>
        </w:numPr>
        <w:bidi/>
        <w:spacing w:after="100" w:line="290" w:lineRule="auto"/>
        <w:jc w:val="right"/>
      </w:pPr>
      <w:r>
        <w:rPr>
          <w:rFonts w:ascii="DejaVu Sans" w:hAnsi="DejaVu Sans" w:eastAsia="DejaVu Sans" w:cs="DejaVu Sans"/>
          <w:sz w:val="22"/>
          <w:szCs w:val="22"/>
          <w:rtl/>
        </w:rPr>
        <w:t>ثقافة تقبل التجريب والتعلّم (بما فيه تقبّل الفشل كجزء من التعلّم)</w:t>
      </w:r>
    </w:p>
    <w:p w14:paraId="49A51640">
      <w:pPr>
        <w:pStyle w:val="16"/>
        <w:numPr>
          <w:ilvl w:val="0"/>
          <w:numId w:val="1"/>
        </w:numPr>
        <w:bidi/>
        <w:spacing w:after="100" w:line="290" w:lineRule="auto"/>
        <w:jc w:val="right"/>
      </w:pPr>
      <w:r>
        <w:rPr>
          <w:rFonts w:ascii="DejaVu Sans" w:hAnsi="DejaVu Sans" w:eastAsia="DejaVu Sans" w:cs="DejaVu Sans"/>
          <w:sz w:val="22"/>
          <w:szCs w:val="22"/>
          <w:rtl/>
        </w:rPr>
        <w:t>موارد مالية وتقنية كافية</w:t>
      </w:r>
    </w:p>
    <w:p w14:paraId="155773E2">
      <w:pPr>
        <w:pStyle w:val="16"/>
        <w:numPr>
          <w:ilvl w:val="0"/>
          <w:numId w:val="1"/>
        </w:numPr>
        <w:bidi/>
        <w:spacing w:after="100" w:line="290" w:lineRule="auto"/>
        <w:jc w:val="right"/>
      </w:pPr>
      <w:r>
        <w:rPr>
          <w:rFonts w:ascii="DejaVu Sans" w:hAnsi="DejaVu Sans" w:eastAsia="DejaVu Sans" w:cs="DejaVu Sans"/>
          <w:sz w:val="22"/>
          <w:szCs w:val="22"/>
          <w:rtl/>
        </w:rPr>
        <w:t>مهارات رقمية لدى الكوادر</w:t>
      </w:r>
    </w:p>
    <w:p w14:paraId="58C4D533">
      <w:pPr>
        <w:pStyle w:val="16"/>
        <w:numPr>
          <w:ilvl w:val="0"/>
          <w:numId w:val="1"/>
        </w:numPr>
        <w:bidi/>
        <w:spacing w:after="100" w:line="290" w:lineRule="auto"/>
        <w:jc w:val="right"/>
      </w:pPr>
      <w:r>
        <w:rPr>
          <w:rFonts w:ascii="DejaVu Sans" w:hAnsi="DejaVu Sans" w:eastAsia="DejaVu Sans" w:cs="DejaVu Sans"/>
          <w:sz w:val="22"/>
          <w:szCs w:val="22"/>
          <w:rtl/>
        </w:rPr>
        <w:t>حوافز واضحة لأصحاب الأفكار</w:t>
      </w:r>
    </w:p>
    <w:p w14:paraId="57B9A91F">
      <w:pPr>
        <w:pStyle w:val="16"/>
        <w:numPr>
          <w:ilvl w:val="0"/>
          <w:numId w:val="1"/>
        </w:numPr>
        <w:bidi/>
        <w:spacing w:after="100" w:line="290" w:lineRule="auto"/>
        <w:jc w:val="right"/>
      </w:pPr>
      <w:r>
        <w:rPr>
          <w:rFonts w:ascii="DejaVu Sans" w:hAnsi="DejaVu Sans" w:eastAsia="DejaVu Sans" w:cs="DejaVu Sans"/>
          <w:sz w:val="22"/>
          <w:szCs w:val="22"/>
          <w:rtl/>
        </w:rPr>
        <w:t>شراكات خارجية فعّالة</w:t>
      </w:r>
    </w:p>
    <w:p w14:paraId="0AFB9ABC">
      <w:pPr>
        <w:pStyle w:val="16"/>
        <w:numPr>
          <w:ilvl w:val="0"/>
          <w:numId w:val="1"/>
        </w:numPr>
        <w:bidi/>
        <w:spacing w:after="100" w:line="290" w:lineRule="auto"/>
        <w:jc w:val="right"/>
      </w:pPr>
      <w:r>
        <w:rPr>
          <w:rFonts w:ascii="DejaVu Sans" w:hAnsi="DejaVu Sans" w:eastAsia="DejaVu Sans" w:cs="DejaVu Sans"/>
          <w:sz w:val="22"/>
          <w:szCs w:val="22"/>
          <w:rtl/>
        </w:rPr>
        <w:t>إدارة مخاطر الابتكار</w:t>
      </w:r>
    </w:p>
    <w:p w14:paraId="63FF77B6">
      <w:pPr>
        <w:pStyle w:val="16"/>
        <w:numPr>
          <w:ilvl w:val="0"/>
          <w:numId w:val="1"/>
        </w:numPr>
        <w:bidi/>
        <w:spacing w:after="100" w:line="290" w:lineRule="auto"/>
        <w:jc w:val="right"/>
      </w:pPr>
      <w:r>
        <w:rPr>
          <w:rFonts w:ascii="DejaVu Sans" w:hAnsi="DejaVu Sans" w:eastAsia="DejaVu Sans" w:cs="DejaVu Sans"/>
          <w:sz w:val="22"/>
          <w:szCs w:val="22"/>
          <w:rtl/>
        </w:rPr>
        <w:t>سرعة اتخاذ القرار</w:t>
      </w:r>
    </w:p>
    <w:p w14:paraId="75B4DACD">
      <w:pPr>
        <w:pStyle w:val="16"/>
        <w:numPr>
          <w:ilvl w:val="0"/>
          <w:numId w:val="1"/>
        </w:numPr>
        <w:bidi/>
        <w:spacing w:after="100" w:line="290" w:lineRule="auto"/>
        <w:jc w:val="right"/>
      </w:pPr>
      <w:r>
        <w:rPr>
          <w:rFonts w:ascii="DejaVu Sans" w:hAnsi="DejaVu Sans" w:eastAsia="DejaVu Sans" w:cs="DejaVu Sans"/>
          <w:sz w:val="22"/>
          <w:szCs w:val="22"/>
          <w:rtl/>
        </w:rPr>
        <w:t>قياس النتائج بشكل منهجي</w:t>
      </w:r>
    </w:p>
    <w:p w14:paraId="4D3C80C7">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١٧. معوقات الابتكار</w:t>
      </w:r>
    </w:p>
    <w:p w14:paraId="278199EB">
      <w:pPr>
        <w:pStyle w:val="16"/>
        <w:numPr>
          <w:ilvl w:val="0"/>
          <w:numId w:val="1"/>
        </w:numPr>
        <w:bidi/>
        <w:spacing w:after="100" w:line="290" w:lineRule="auto"/>
        <w:jc w:val="right"/>
      </w:pPr>
      <w:r>
        <w:rPr>
          <w:rFonts w:ascii="DejaVu Sans" w:hAnsi="DejaVu Sans" w:eastAsia="DejaVu Sans" w:cs="DejaVu Sans"/>
          <w:sz w:val="22"/>
          <w:szCs w:val="22"/>
          <w:rtl/>
        </w:rPr>
        <w:t>مقاومة التغيير من العاملين أو الإدارة</w:t>
      </w:r>
    </w:p>
    <w:p w14:paraId="10B3D5BB">
      <w:pPr>
        <w:pStyle w:val="16"/>
        <w:numPr>
          <w:ilvl w:val="0"/>
          <w:numId w:val="1"/>
        </w:numPr>
        <w:bidi/>
        <w:spacing w:after="100" w:line="290" w:lineRule="auto"/>
        <w:jc w:val="right"/>
      </w:pPr>
      <w:r>
        <w:rPr>
          <w:rFonts w:ascii="DejaVu Sans" w:hAnsi="DejaVu Sans" w:eastAsia="DejaVu Sans" w:cs="DejaVu Sans"/>
          <w:sz w:val="22"/>
          <w:szCs w:val="22"/>
          <w:rtl/>
        </w:rPr>
        <w:t>البيروقراطية وتعقيد الإجراءات</w:t>
      </w:r>
    </w:p>
    <w:p w14:paraId="10CDB775">
      <w:pPr>
        <w:pStyle w:val="16"/>
        <w:numPr>
          <w:ilvl w:val="0"/>
          <w:numId w:val="1"/>
        </w:numPr>
        <w:bidi/>
        <w:spacing w:after="100" w:line="290" w:lineRule="auto"/>
        <w:jc w:val="right"/>
      </w:pPr>
      <w:r>
        <w:rPr>
          <w:rFonts w:ascii="DejaVu Sans" w:hAnsi="DejaVu Sans" w:eastAsia="DejaVu Sans" w:cs="DejaVu Sans"/>
          <w:sz w:val="22"/>
          <w:szCs w:val="22"/>
          <w:rtl/>
        </w:rPr>
        <w:t>ضعف التمويل المخصص للابتكار</w:t>
      </w:r>
    </w:p>
    <w:p w14:paraId="016B2D39">
      <w:pPr>
        <w:pStyle w:val="16"/>
        <w:numPr>
          <w:ilvl w:val="0"/>
          <w:numId w:val="1"/>
        </w:numPr>
        <w:bidi/>
        <w:spacing w:after="100" w:line="290" w:lineRule="auto"/>
        <w:jc w:val="right"/>
      </w:pPr>
      <w:r>
        <w:rPr>
          <w:rFonts w:ascii="DejaVu Sans" w:hAnsi="DejaVu Sans" w:eastAsia="DejaVu Sans" w:cs="DejaVu Sans"/>
          <w:sz w:val="22"/>
          <w:szCs w:val="22"/>
          <w:rtl/>
        </w:rPr>
        <w:t>نقص المهارات الرقمية والتقنية</w:t>
      </w:r>
    </w:p>
    <w:p w14:paraId="2E318C33">
      <w:pPr>
        <w:pStyle w:val="16"/>
        <w:numPr>
          <w:ilvl w:val="0"/>
          <w:numId w:val="1"/>
        </w:numPr>
        <w:bidi/>
        <w:spacing w:after="100" w:line="290" w:lineRule="auto"/>
        <w:jc w:val="right"/>
      </w:pPr>
      <w:r>
        <w:rPr>
          <w:rFonts w:ascii="DejaVu Sans" w:hAnsi="DejaVu Sans" w:eastAsia="DejaVu Sans" w:cs="DejaVu Sans"/>
          <w:sz w:val="22"/>
          <w:szCs w:val="22"/>
          <w:rtl/>
        </w:rPr>
        <w:t>الخوف من الفشل وثقافة العقاب على المحاولة</w:t>
      </w:r>
    </w:p>
    <w:p w14:paraId="53CBFF39">
      <w:pPr>
        <w:pStyle w:val="16"/>
        <w:numPr>
          <w:ilvl w:val="0"/>
          <w:numId w:val="1"/>
        </w:numPr>
        <w:bidi/>
        <w:spacing w:after="100" w:line="290" w:lineRule="auto"/>
        <w:jc w:val="right"/>
      </w:pPr>
      <w:r>
        <w:rPr>
          <w:rFonts w:ascii="DejaVu Sans" w:hAnsi="DejaVu Sans" w:eastAsia="DejaVu Sans" w:cs="DejaVu Sans"/>
          <w:sz w:val="22"/>
          <w:szCs w:val="22"/>
          <w:rtl/>
        </w:rPr>
        <w:t>ضعف البنية الرقمية التحتية</w:t>
      </w:r>
    </w:p>
    <w:p w14:paraId="0C96758A">
      <w:pPr>
        <w:pStyle w:val="16"/>
        <w:numPr>
          <w:ilvl w:val="0"/>
          <w:numId w:val="1"/>
        </w:numPr>
        <w:bidi/>
        <w:spacing w:after="100" w:line="290" w:lineRule="auto"/>
        <w:jc w:val="right"/>
      </w:pPr>
      <w:r>
        <w:rPr>
          <w:rFonts w:ascii="DejaVu Sans" w:hAnsi="DejaVu Sans" w:eastAsia="DejaVu Sans" w:cs="DejaVu Sans"/>
          <w:sz w:val="22"/>
          <w:szCs w:val="22"/>
          <w:rtl/>
        </w:rPr>
        <w:t>غياب استراتيجية ابتكار واضحة ومكتوبة</w:t>
      </w:r>
    </w:p>
    <w:p w14:paraId="5A909F39">
      <w:pPr>
        <w:pStyle w:val="16"/>
        <w:numPr>
          <w:ilvl w:val="0"/>
          <w:numId w:val="1"/>
        </w:numPr>
        <w:bidi/>
        <w:spacing w:after="100" w:line="290" w:lineRule="auto"/>
        <w:jc w:val="right"/>
      </w:pPr>
      <w:r>
        <w:rPr>
          <w:rFonts w:ascii="DejaVu Sans" w:hAnsi="DejaVu Sans" w:eastAsia="DejaVu Sans" w:cs="DejaVu Sans"/>
          <w:sz w:val="22"/>
          <w:szCs w:val="22"/>
          <w:rtl/>
        </w:rPr>
        <w:t>التركيز المفرط على النتائج قصيرة الأجل على حساب الاستثمار طويل الأمد</w:t>
      </w:r>
    </w:p>
    <w:p w14:paraId="1760FED1">
      <w:pPr>
        <w:pStyle w:val="16"/>
        <w:numPr>
          <w:ilvl w:val="0"/>
          <w:numId w:val="1"/>
        </w:numPr>
        <w:bidi/>
        <w:spacing w:after="100" w:line="290" w:lineRule="auto"/>
        <w:jc w:val="right"/>
      </w:pPr>
      <w:r>
        <w:rPr>
          <w:rFonts w:ascii="DejaVu Sans" w:hAnsi="DejaVu Sans" w:eastAsia="DejaVu Sans" w:cs="DejaVu Sans"/>
          <w:sz w:val="22"/>
          <w:szCs w:val="22"/>
          <w:rtl/>
        </w:rPr>
        <w:t>ضعف التعاون بين الجامعة والصناعة</w:t>
      </w:r>
    </w:p>
    <w:tbl>
      <w:tblPr>
        <w:tblStyle w:val="9"/>
        <w:bidiVisual/>
        <w:tblW w:w="9700" w:type="dxa"/>
        <w:tblInd w:w="0" w:type="dxa"/>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Layout w:type="autofit"/>
        <w:tblCellMar>
          <w:top w:w="0" w:type="dxa"/>
          <w:left w:w="10" w:type="dxa"/>
          <w:bottom w:w="0" w:type="dxa"/>
          <w:right w:w="10" w:type="dxa"/>
        </w:tblCellMar>
      </w:tblPr>
      <w:tblGrid>
        <w:gridCol w:w="9700"/>
      </w:tblGrid>
      <w:tr w14:paraId="1684897F">
        <w:tblPrEx>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PrEx>
        <w:tc>
          <w:tcPr>
            <w:tcW w:w="9700" w:type="dxa"/>
            <w:shd w:val="clear" w:color="auto" w:fill="EAF2F8"/>
            <w:tcMar>
              <w:top w:w="150" w:type="dxa"/>
              <w:left w:w="200" w:type="dxa"/>
              <w:bottom w:w="150" w:type="dxa"/>
              <w:right w:w="200" w:type="dxa"/>
            </w:tcMar>
          </w:tcPr>
          <w:p w14:paraId="24FDE090">
            <w:pPr>
              <w:bidi/>
              <w:spacing w:after="80"/>
              <w:jc w:val="right"/>
            </w:pPr>
            <w:r>
              <w:rPr>
                <w:rFonts w:ascii="DejaVu Sans" w:hAnsi="DejaVu Sans" w:eastAsia="DejaVu Sans" w:cs="DejaVu Sans"/>
                <w:b/>
                <w:bCs/>
                <w:color w:val="1F4E5F"/>
                <w:sz w:val="22"/>
                <w:szCs w:val="22"/>
                <w:rtl/>
              </w:rPr>
              <w:t>🔎 ملاحظة</w:t>
            </w:r>
          </w:p>
          <w:p w14:paraId="1ECF85E6">
            <w:pPr>
              <w:bidi/>
              <w:spacing w:after="0"/>
              <w:jc w:val="right"/>
            </w:pPr>
            <w:r>
              <w:rPr>
                <w:rFonts w:ascii="DejaVu Sans" w:hAnsi="DejaVu Sans" w:eastAsia="DejaVu Sans" w:cs="DejaVu Sans"/>
                <w:sz w:val="21"/>
                <w:szCs w:val="21"/>
                <w:rtl/>
              </w:rPr>
              <w:t>لاحظ التناظر شبه الكامل بين قائمة "شروط النجاح" وقائمة "المعوقات": كل معوق هو في جوهره غياب أحد شروط النجاح (مثال: "الخوف من الفشل" هو النقيض المباشر لـ"ثقافة تقبّل التجريب والتعلّم"). هذا نمط تحليلي مفيد لأي طالب دراسات عليا عند تقييم جاهزية أي مؤسسة للابتكار: قيّم كل شرط نجاح، فإن غاب فهو معوق بحد ذاته.</w:t>
            </w:r>
          </w:p>
        </w:tc>
      </w:tr>
    </w:tbl>
    <w:p w14:paraId="0ADDA0B6">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١٨. قياس الابتكار</w:t>
      </w:r>
    </w:p>
    <w:p w14:paraId="366EAB63">
      <w:pPr>
        <w:bidi/>
        <w:spacing w:after="160" w:line="300" w:lineRule="auto"/>
        <w:jc w:val="right"/>
      </w:pPr>
      <w:r>
        <w:rPr>
          <w:rFonts w:ascii="DejaVu Sans" w:hAnsi="DejaVu Sans" w:eastAsia="DejaVu Sans" w:cs="DejaVu Sans"/>
          <w:b w:val="0"/>
          <w:bCs w:val="0"/>
          <w:i w:val="0"/>
          <w:iCs w:val="0"/>
          <w:sz w:val="22"/>
          <w:szCs w:val="22"/>
          <w:rtl/>
        </w:rPr>
        <w:t>تصنّف الشريحة مؤشرات قياس الابتكار إلى ثلاث فئات متسلسلة منطقياً على طول سلسلة القيمة (مدخلات ← عمليات ← مخرجات):</w:t>
      </w:r>
    </w:p>
    <w:p w14:paraId="7B1F5531">
      <w:pPr>
        <w:pStyle w:val="4"/>
        <w:bidi/>
        <w:spacing w:before="200" w:after="100"/>
        <w:jc w:val="right"/>
      </w:pPr>
      <w:r>
        <w:rPr>
          <w:rFonts w:ascii="DejaVu Sans" w:hAnsi="DejaVu Sans" w:eastAsia="DejaVu Sans" w:cs="DejaVu Sans"/>
          <w:b/>
          <w:bCs/>
          <w:color w:val="444444"/>
          <w:sz w:val="23"/>
          <w:szCs w:val="23"/>
          <w:rtl/>
        </w:rPr>
        <w:t>١. مؤشرات المدخلات (Inputs)</w:t>
      </w:r>
    </w:p>
    <w:p w14:paraId="40300718">
      <w:pPr>
        <w:pStyle w:val="16"/>
        <w:numPr>
          <w:ilvl w:val="0"/>
          <w:numId w:val="1"/>
        </w:numPr>
        <w:bidi/>
        <w:spacing w:after="100" w:line="290" w:lineRule="auto"/>
        <w:jc w:val="right"/>
      </w:pPr>
      <w:r>
        <w:rPr>
          <w:rFonts w:ascii="DejaVu Sans" w:hAnsi="DejaVu Sans" w:eastAsia="DejaVu Sans" w:cs="DejaVu Sans"/>
          <w:sz w:val="22"/>
          <w:szCs w:val="22"/>
          <w:rtl/>
        </w:rPr>
        <w:t>الإنفاق على البحث والتطوير</w:t>
      </w:r>
    </w:p>
    <w:p w14:paraId="3AF8DEF9">
      <w:pPr>
        <w:pStyle w:val="16"/>
        <w:numPr>
          <w:ilvl w:val="0"/>
          <w:numId w:val="1"/>
        </w:numPr>
        <w:bidi/>
        <w:spacing w:after="100" w:line="290" w:lineRule="auto"/>
        <w:jc w:val="right"/>
      </w:pPr>
      <w:r>
        <w:rPr>
          <w:rFonts w:ascii="DejaVu Sans" w:hAnsi="DejaVu Sans" w:eastAsia="DejaVu Sans" w:cs="DejaVu Sans"/>
          <w:sz w:val="22"/>
          <w:szCs w:val="22"/>
          <w:rtl/>
        </w:rPr>
        <w:t>عدد الكفاءات المتخصصة</w:t>
      </w:r>
    </w:p>
    <w:p w14:paraId="61B7FCD3">
      <w:pPr>
        <w:pStyle w:val="4"/>
        <w:bidi/>
        <w:spacing w:before="200" w:after="100"/>
        <w:jc w:val="right"/>
      </w:pPr>
      <w:r>
        <w:rPr>
          <w:rFonts w:ascii="DejaVu Sans" w:hAnsi="DejaVu Sans" w:eastAsia="DejaVu Sans" w:cs="DejaVu Sans"/>
          <w:b/>
          <w:bCs/>
          <w:color w:val="444444"/>
          <w:sz w:val="23"/>
          <w:szCs w:val="23"/>
          <w:rtl/>
        </w:rPr>
        <w:t>٢. مؤشرات العمليات (Process)</w:t>
      </w:r>
    </w:p>
    <w:p w14:paraId="4503B460">
      <w:pPr>
        <w:pStyle w:val="16"/>
        <w:numPr>
          <w:ilvl w:val="0"/>
          <w:numId w:val="1"/>
        </w:numPr>
        <w:bidi/>
        <w:spacing w:after="100" w:line="290" w:lineRule="auto"/>
        <w:jc w:val="right"/>
      </w:pPr>
      <w:r>
        <w:rPr>
          <w:rFonts w:ascii="DejaVu Sans" w:hAnsi="DejaVu Sans" w:eastAsia="DejaVu Sans" w:cs="DejaVu Sans"/>
          <w:sz w:val="22"/>
          <w:szCs w:val="22"/>
          <w:rtl/>
        </w:rPr>
        <w:t>عدد الأفكار والنماذج الأولية المُنتَجة</w:t>
      </w:r>
    </w:p>
    <w:p w14:paraId="5635446B">
      <w:pPr>
        <w:pStyle w:val="16"/>
        <w:numPr>
          <w:ilvl w:val="0"/>
          <w:numId w:val="1"/>
        </w:numPr>
        <w:bidi/>
        <w:spacing w:after="100" w:line="290" w:lineRule="auto"/>
        <w:jc w:val="right"/>
      </w:pPr>
      <w:r>
        <w:rPr>
          <w:rFonts w:ascii="DejaVu Sans" w:hAnsi="DejaVu Sans" w:eastAsia="DejaVu Sans" w:cs="DejaVu Sans"/>
          <w:sz w:val="22"/>
          <w:szCs w:val="22"/>
          <w:rtl/>
        </w:rPr>
        <w:t>سرعة الانتقال من الفكرة إلى الاختبار الفعلي</w:t>
      </w:r>
    </w:p>
    <w:p w14:paraId="38BD2E05">
      <w:pPr>
        <w:pStyle w:val="4"/>
        <w:bidi/>
        <w:spacing w:before="200" w:after="100"/>
        <w:jc w:val="right"/>
      </w:pPr>
      <w:r>
        <w:rPr>
          <w:rFonts w:ascii="DejaVu Sans" w:hAnsi="DejaVu Sans" w:eastAsia="DejaVu Sans" w:cs="DejaVu Sans"/>
          <w:b/>
          <w:bCs/>
          <w:color w:val="444444"/>
          <w:sz w:val="23"/>
          <w:szCs w:val="23"/>
          <w:rtl/>
        </w:rPr>
        <w:t>٣. مؤشرات المخرجات والأثر (Outputs &amp; Impact)</w:t>
      </w:r>
    </w:p>
    <w:p w14:paraId="67B556DD">
      <w:pPr>
        <w:pStyle w:val="16"/>
        <w:numPr>
          <w:ilvl w:val="0"/>
          <w:numId w:val="1"/>
        </w:numPr>
        <w:bidi/>
        <w:spacing w:after="100" w:line="290" w:lineRule="auto"/>
        <w:jc w:val="right"/>
      </w:pPr>
      <w:r>
        <w:rPr>
          <w:rFonts w:ascii="DejaVu Sans" w:hAnsi="DejaVu Sans" w:eastAsia="DejaVu Sans" w:cs="DejaVu Sans"/>
          <w:sz w:val="22"/>
          <w:szCs w:val="22"/>
          <w:rtl/>
        </w:rPr>
        <w:t>المنتجات الجديدة المطروحة فعلياً في السوق</w:t>
      </w:r>
    </w:p>
    <w:p w14:paraId="27073B08">
      <w:pPr>
        <w:pStyle w:val="16"/>
        <w:numPr>
          <w:ilvl w:val="0"/>
          <w:numId w:val="1"/>
        </w:numPr>
        <w:bidi/>
        <w:spacing w:after="100" w:line="290" w:lineRule="auto"/>
        <w:jc w:val="right"/>
      </w:pPr>
      <w:r>
        <w:rPr>
          <w:rFonts w:ascii="DejaVu Sans" w:hAnsi="DejaVu Sans" w:eastAsia="DejaVu Sans" w:cs="DejaVu Sans"/>
          <w:sz w:val="22"/>
          <w:szCs w:val="22"/>
          <w:rtl/>
        </w:rPr>
        <w:t>الإيرادات المتحققة من المنتجات الجديدة</w:t>
      </w:r>
    </w:p>
    <w:p w14:paraId="0876DE38">
      <w:pPr>
        <w:pStyle w:val="16"/>
        <w:numPr>
          <w:ilvl w:val="0"/>
          <w:numId w:val="1"/>
        </w:numPr>
        <w:bidi/>
        <w:spacing w:after="100" w:line="290" w:lineRule="auto"/>
        <w:jc w:val="right"/>
      </w:pPr>
      <w:r>
        <w:rPr>
          <w:rFonts w:ascii="DejaVu Sans" w:hAnsi="DejaVu Sans" w:eastAsia="DejaVu Sans" w:cs="DejaVu Sans"/>
          <w:sz w:val="22"/>
          <w:szCs w:val="22"/>
          <w:rtl/>
        </w:rPr>
        <w:t>الإنتاجية، والحصة السوقية، ورضا العملاء</w:t>
      </w:r>
    </w:p>
    <w:tbl>
      <w:tblPr>
        <w:tblStyle w:val="9"/>
        <w:bidiVisual/>
        <w:tblW w:w="9700" w:type="dxa"/>
        <w:tblInd w:w="0" w:type="dxa"/>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Layout w:type="autofit"/>
        <w:tblCellMar>
          <w:top w:w="0" w:type="dxa"/>
          <w:left w:w="10" w:type="dxa"/>
          <w:bottom w:w="0" w:type="dxa"/>
          <w:right w:w="10" w:type="dxa"/>
        </w:tblCellMar>
      </w:tblPr>
      <w:tblGrid>
        <w:gridCol w:w="9700"/>
      </w:tblGrid>
      <w:tr w14:paraId="07A1C99B">
        <w:tblPrEx>
          <w:tblBorders>
            <w:top w:val="single" w:color="2E75B6" w:sz="4" w:space="0"/>
            <w:left w:val="single" w:color="2E75B6" w:sz="4" w:space="0"/>
            <w:bottom w:val="single" w:color="2E75B6" w:sz="4" w:space="0"/>
            <w:right w:val="single" w:color="2E75B6" w:sz="4" w:space="0"/>
            <w:insideH w:val="none" w:color="FFFFFF" w:sz="0" w:space="0"/>
            <w:insideV w:val="none" w:color="FFFFFF" w:sz="0" w:space="0"/>
          </w:tblBorders>
          <w:tblCellMar>
            <w:top w:w="0" w:type="dxa"/>
            <w:left w:w="10" w:type="dxa"/>
            <w:bottom w:w="0" w:type="dxa"/>
            <w:right w:w="10" w:type="dxa"/>
          </w:tblCellMar>
        </w:tblPrEx>
        <w:tc>
          <w:tcPr>
            <w:tcW w:w="9700" w:type="dxa"/>
            <w:shd w:val="clear" w:color="auto" w:fill="EAF2F8"/>
            <w:tcMar>
              <w:top w:w="150" w:type="dxa"/>
              <w:left w:w="200" w:type="dxa"/>
              <w:bottom w:w="150" w:type="dxa"/>
              <w:right w:w="200" w:type="dxa"/>
            </w:tcMar>
          </w:tcPr>
          <w:p w14:paraId="4AC5E8E0">
            <w:pPr>
              <w:bidi/>
              <w:spacing w:after="80"/>
              <w:jc w:val="right"/>
            </w:pPr>
            <w:r>
              <w:rPr>
                <w:rFonts w:ascii="DejaVu Sans" w:hAnsi="DejaVu Sans" w:eastAsia="DejaVu Sans" w:cs="DejaVu Sans"/>
                <w:b/>
                <w:bCs/>
                <w:color w:val="1F4E5F"/>
                <w:sz w:val="22"/>
                <w:szCs w:val="22"/>
                <w:rtl/>
              </w:rPr>
              <w:t>🔎 لماذا هذا التسلسل مهم؟</w:t>
            </w:r>
          </w:p>
          <w:p w14:paraId="3432F64D">
            <w:pPr>
              <w:bidi/>
              <w:spacing w:after="0"/>
              <w:jc w:val="right"/>
            </w:pPr>
            <w:r>
              <w:rPr>
                <w:rFonts w:ascii="DejaVu Sans" w:hAnsi="DejaVu Sans" w:eastAsia="DejaVu Sans" w:cs="DejaVu Sans"/>
                <w:sz w:val="21"/>
                <w:szCs w:val="21"/>
                <w:rtl/>
              </w:rPr>
              <w:t>كثير من المؤسسات تقيس الابتكار بمؤشرات المدخلات فقط (كم أنفقنا على البحث والتطوير)، وهذا مؤشر مضلل إن لم يقترن بمؤشرات المخرجات؛ فقد تُنفق مؤسسة مبالغ كبيرة دون أن ينتج عنها منتج ناجح واحد. القياس السليم يتتبّع السلسلة كاملة: من الإنفاق (مدخل)، إلى سرعة التجريب (عملية)، إلى الإيراد الفعلي من منتج جديد (مخرج).</w:t>
            </w:r>
          </w:p>
        </w:tc>
      </w:tr>
    </w:tbl>
    <w:p w14:paraId="38D72F0E">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١٩. مقارنة النماذج الأربعة</w:t>
      </w:r>
    </w:p>
    <w:tbl>
      <w:tblPr>
        <w:tblStyle w:val="9"/>
        <w:bidiVisual/>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15E27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4E5F"/>
            <w:tcMar>
              <w:top w:w="100" w:type="dxa"/>
              <w:left w:w="120" w:type="dxa"/>
              <w:bottom w:w="100" w:type="dxa"/>
              <w:right w:w="120" w:type="dxa"/>
            </w:tcMar>
          </w:tcPr>
          <w:p w14:paraId="70ADB5F3">
            <w:pPr>
              <w:bidi/>
              <w:jc w:val="center"/>
            </w:pPr>
            <w:r>
              <w:rPr>
                <w:rFonts w:ascii="DejaVu Sans" w:hAnsi="DejaVu Sans" w:eastAsia="DejaVu Sans" w:cs="DejaVu Sans"/>
                <w:b/>
                <w:bCs/>
                <w:color w:val="FFFFFF"/>
                <w:sz w:val="21"/>
                <w:szCs w:val="21"/>
                <w:rtl/>
              </w:rPr>
              <w:t>النموذج</w:t>
            </w:r>
          </w:p>
        </w:tc>
        <w:tc>
          <w:tcPr>
            <w:tcW w:w="4500" w:type="dxa"/>
            <w:shd w:val="clear" w:color="auto" w:fill="1F4E5F"/>
            <w:tcMar>
              <w:top w:w="100" w:type="dxa"/>
              <w:left w:w="120" w:type="dxa"/>
              <w:bottom w:w="100" w:type="dxa"/>
              <w:right w:w="120" w:type="dxa"/>
            </w:tcMar>
          </w:tcPr>
          <w:p w14:paraId="5A1AEF07">
            <w:pPr>
              <w:bidi/>
              <w:jc w:val="center"/>
            </w:pPr>
            <w:r>
              <w:rPr>
                <w:rFonts w:ascii="DejaVu Sans" w:hAnsi="DejaVu Sans" w:eastAsia="DejaVu Sans" w:cs="DejaVu Sans"/>
                <w:b/>
                <w:bCs/>
                <w:color w:val="FFFFFF"/>
                <w:sz w:val="21"/>
                <w:szCs w:val="21"/>
                <w:rtl/>
              </w:rPr>
              <w:t>الفكرة المختصرة</w:t>
            </w:r>
          </w:p>
        </w:tc>
      </w:tr>
      <w:tr w14:paraId="0961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100" w:type="dxa"/>
              <w:left w:w="120" w:type="dxa"/>
              <w:bottom w:w="100" w:type="dxa"/>
              <w:right w:w="120" w:type="dxa"/>
            </w:tcMar>
          </w:tcPr>
          <w:p w14:paraId="342AC3EB">
            <w:pPr>
              <w:bidi/>
              <w:jc w:val="right"/>
            </w:pPr>
            <w:r>
              <w:rPr>
                <w:rFonts w:ascii="DejaVu Sans" w:hAnsi="DejaVu Sans" w:eastAsia="DejaVu Sans" w:cs="DejaVu Sans"/>
                <w:sz w:val="21"/>
                <w:szCs w:val="21"/>
                <w:rtl/>
              </w:rPr>
              <w:t>الجذري</w:t>
            </w:r>
          </w:p>
        </w:tc>
        <w:tc>
          <w:tcPr>
            <w:tcW w:w="4500" w:type="dxa"/>
            <w:shd w:val="clear" w:color="auto" w:fill="FFFFFF"/>
            <w:tcMar>
              <w:top w:w="100" w:type="dxa"/>
              <w:left w:w="120" w:type="dxa"/>
              <w:bottom w:w="100" w:type="dxa"/>
              <w:right w:w="120" w:type="dxa"/>
            </w:tcMar>
          </w:tcPr>
          <w:p w14:paraId="2F57762A">
            <w:pPr>
              <w:bidi/>
              <w:jc w:val="right"/>
            </w:pPr>
            <w:r>
              <w:rPr>
                <w:rFonts w:ascii="DejaVu Sans" w:hAnsi="DejaVu Sans" w:eastAsia="DejaVu Sans" w:cs="DejaVu Sans"/>
                <w:sz w:val="21"/>
                <w:szCs w:val="21"/>
                <w:rtl/>
              </w:rPr>
              <w:t>تغيير قواعد المنافسة بالكامل</w:t>
            </w:r>
          </w:p>
        </w:tc>
      </w:tr>
      <w:tr w14:paraId="47E31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7FB"/>
            <w:tcMar>
              <w:top w:w="100" w:type="dxa"/>
              <w:left w:w="120" w:type="dxa"/>
              <w:bottom w:w="100" w:type="dxa"/>
              <w:right w:w="120" w:type="dxa"/>
            </w:tcMar>
          </w:tcPr>
          <w:p w14:paraId="24F31663">
            <w:pPr>
              <w:bidi/>
              <w:jc w:val="right"/>
            </w:pPr>
            <w:r>
              <w:rPr>
                <w:rFonts w:ascii="DejaVu Sans" w:hAnsi="DejaVu Sans" w:eastAsia="DejaVu Sans" w:cs="DejaVu Sans"/>
                <w:sz w:val="21"/>
                <w:szCs w:val="21"/>
                <w:rtl/>
              </w:rPr>
              <w:t>التدريجي</w:t>
            </w:r>
          </w:p>
        </w:tc>
        <w:tc>
          <w:tcPr>
            <w:tcW w:w="4500" w:type="dxa"/>
            <w:shd w:val="clear" w:color="auto" w:fill="F2F7FB"/>
            <w:tcMar>
              <w:top w:w="100" w:type="dxa"/>
              <w:left w:w="120" w:type="dxa"/>
              <w:bottom w:w="100" w:type="dxa"/>
              <w:right w:w="120" w:type="dxa"/>
            </w:tcMar>
          </w:tcPr>
          <w:p w14:paraId="16F70C23">
            <w:pPr>
              <w:bidi/>
              <w:jc w:val="right"/>
            </w:pPr>
            <w:r>
              <w:rPr>
                <w:rFonts w:ascii="DejaVu Sans" w:hAnsi="DejaVu Sans" w:eastAsia="DejaVu Sans" w:cs="DejaVu Sans"/>
                <w:sz w:val="21"/>
                <w:szCs w:val="21"/>
                <w:rtl/>
              </w:rPr>
              <w:t>تحسينات تراكمية على ما هو قائم</w:t>
            </w:r>
          </w:p>
        </w:tc>
      </w:tr>
      <w:tr w14:paraId="3DEC6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FFFFF"/>
            <w:tcMar>
              <w:top w:w="100" w:type="dxa"/>
              <w:left w:w="120" w:type="dxa"/>
              <w:bottom w:w="100" w:type="dxa"/>
              <w:right w:w="120" w:type="dxa"/>
            </w:tcMar>
          </w:tcPr>
          <w:p w14:paraId="1811E7D6">
            <w:pPr>
              <w:bidi/>
              <w:jc w:val="right"/>
            </w:pPr>
            <w:r>
              <w:rPr>
                <w:rFonts w:ascii="DejaVu Sans" w:hAnsi="DejaVu Sans" w:eastAsia="DejaVu Sans" w:cs="DejaVu Sans"/>
                <w:sz w:val="21"/>
                <w:szCs w:val="21"/>
                <w:rtl/>
              </w:rPr>
              <w:t>المفتوح</w:t>
            </w:r>
          </w:p>
        </w:tc>
        <w:tc>
          <w:tcPr>
            <w:tcW w:w="4500" w:type="dxa"/>
            <w:shd w:val="clear" w:color="auto" w:fill="FFFFFF"/>
            <w:tcMar>
              <w:top w:w="100" w:type="dxa"/>
              <w:left w:w="120" w:type="dxa"/>
              <w:bottom w:w="100" w:type="dxa"/>
              <w:right w:w="120" w:type="dxa"/>
            </w:tcMar>
          </w:tcPr>
          <w:p w14:paraId="2A3257E5">
            <w:pPr>
              <w:bidi/>
              <w:jc w:val="right"/>
            </w:pPr>
            <w:r>
              <w:rPr>
                <w:rFonts w:ascii="DejaVu Sans" w:hAnsi="DejaVu Sans" w:eastAsia="DejaVu Sans" w:cs="DejaVu Sans"/>
                <w:sz w:val="21"/>
                <w:szCs w:val="21"/>
                <w:rtl/>
              </w:rPr>
              <w:t>توسيع مصادر المعرفة والشراكات خارج حدود المؤسسة</w:t>
            </w:r>
          </w:p>
        </w:tc>
      </w:tr>
      <w:tr w14:paraId="08EAF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7FB"/>
            <w:tcMar>
              <w:top w:w="100" w:type="dxa"/>
              <w:left w:w="120" w:type="dxa"/>
              <w:bottom w:w="100" w:type="dxa"/>
              <w:right w:w="120" w:type="dxa"/>
            </w:tcMar>
          </w:tcPr>
          <w:p w14:paraId="4C51AE1C">
            <w:pPr>
              <w:bidi/>
              <w:jc w:val="right"/>
            </w:pPr>
            <w:r>
              <w:rPr>
                <w:rFonts w:ascii="DejaVu Sans" w:hAnsi="DejaVu Sans" w:eastAsia="DejaVu Sans" w:cs="DejaVu Sans"/>
                <w:sz w:val="21"/>
                <w:szCs w:val="21"/>
                <w:rtl/>
              </w:rPr>
              <w:t>المستمر</w:t>
            </w:r>
          </w:p>
        </w:tc>
        <w:tc>
          <w:tcPr>
            <w:tcW w:w="4500" w:type="dxa"/>
            <w:shd w:val="clear" w:color="auto" w:fill="F2F7FB"/>
            <w:tcMar>
              <w:top w:w="100" w:type="dxa"/>
              <w:left w:w="120" w:type="dxa"/>
              <w:bottom w:w="100" w:type="dxa"/>
              <w:right w:w="120" w:type="dxa"/>
            </w:tcMar>
          </w:tcPr>
          <w:p w14:paraId="0DF10852">
            <w:pPr>
              <w:bidi/>
              <w:jc w:val="right"/>
            </w:pPr>
            <w:r>
              <w:rPr>
                <w:rFonts w:ascii="DejaVu Sans" w:hAnsi="DejaVu Sans" w:eastAsia="DejaVu Sans" w:cs="DejaVu Sans"/>
                <w:sz w:val="21"/>
                <w:szCs w:val="21"/>
                <w:rtl/>
              </w:rPr>
              <w:t>تحويل الابتكار إلى قدرة مؤسسية دائمة وليس حدثاً</w:t>
            </w:r>
          </w:p>
        </w:tc>
      </w:tr>
    </w:tbl>
    <w:p w14:paraId="390A1964">
      <w:pPr>
        <w:spacing w:after="60"/>
      </w:pPr>
    </w:p>
    <w:p w14:paraId="44BAD84E">
      <w:pPr>
        <w:bidi/>
        <w:spacing w:after="160" w:line="300" w:lineRule="auto"/>
        <w:jc w:val="right"/>
      </w:pPr>
      <w:r>
        <w:rPr>
          <w:rFonts w:ascii="DejaVu Sans" w:hAnsi="DejaVu Sans" w:eastAsia="DejaVu Sans" w:cs="DejaVu Sans"/>
          <w:b/>
          <w:bCs/>
          <w:sz w:val="22"/>
          <w:szCs w:val="22"/>
          <w:rtl/>
        </w:rPr>
        <w:t xml:space="preserve">الخلاصة الجوهرية: </w:t>
      </w:r>
      <w:r>
        <w:rPr>
          <w:rFonts w:ascii="DejaVu Sans" w:hAnsi="DejaVu Sans" w:eastAsia="DejaVu Sans" w:cs="DejaVu Sans"/>
          <w:b w:val="0"/>
          <w:bCs w:val="0"/>
          <w:sz w:val="22"/>
          <w:szCs w:val="22"/>
          <w:rtl/>
        </w:rPr>
        <w:t>هذه النماذج الأربعة ليست بدائل مطلقة يُختار منها واحد فقط، بل يمكن دمجها معاً ضمن استراتيجية ابتكار واحدة متكاملة، كما رأينا بوضوح في حالة "المصرف الرقمي" التطبيقية أعلاه حيث ظهرت النماذج الأربعة مجتمعة في مسار تطوري واحد.</w:t>
      </w:r>
    </w:p>
    <w:p w14:paraId="00DFE1F0">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٢٠. أسئلة نقاش للدراسات العليا</w:t>
      </w:r>
    </w:p>
    <w:p w14:paraId="41257600">
      <w:pPr>
        <w:bidi/>
        <w:spacing w:after="160" w:line="300" w:lineRule="auto"/>
        <w:jc w:val="right"/>
      </w:pPr>
      <w:r>
        <w:rPr>
          <w:rFonts w:ascii="DejaVu Sans" w:hAnsi="DejaVu Sans" w:eastAsia="DejaVu Sans" w:cs="DejaVu Sans"/>
          <w:b w:val="0"/>
          <w:bCs w:val="0"/>
          <w:i w:val="0"/>
          <w:iCs w:val="0"/>
          <w:sz w:val="22"/>
          <w:szCs w:val="22"/>
          <w:rtl/>
        </w:rPr>
        <w:t>تطرح المحاضرة خمسة أسئلة نقاشية مفتوحة، وفيما يلي توجيه مختصر لكيفية التعامل مع كل سؤال تحليلياً:</w:t>
      </w:r>
    </w:p>
    <w:p w14:paraId="604CCCA3">
      <w:pPr>
        <w:bidi/>
        <w:spacing w:after="160" w:line="300" w:lineRule="auto"/>
        <w:jc w:val="right"/>
      </w:pPr>
      <w:r>
        <w:rPr>
          <w:rFonts w:ascii="DejaVu Sans" w:hAnsi="DejaVu Sans" w:eastAsia="DejaVu Sans" w:cs="DejaVu Sans"/>
          <w:b/>
          <w:bCs/>
          <w:sz w:val="22"/>
          <w:szCs w:val="22"/>
          <w:rtl/>
        </w:rPr>
        <w:t xml:space="preserve">١. هل الابتكار الجذري أهم من التدريجي؟ ولماذا؟ </w:t>
      </w:r>
      <w:r>
        <w:rPr>
          <w:rFonts w:ascii="DejaVu Sans" w:hAnsi="DejaVu Sans" w:eastAsia="DejaVu Sans" w:cs="DejaVu Sans"/>
          <w:b w:val="0"/>
          <w:bCs w:val="0"/>
          <w:sz w:val="22"/>
          <w:szCs w:val="22"/>
          <w:rtl/>
        </w:rPr>
        <w:t>— السؤال يفترض تناقضاً، لكن الإجابة الأنضج تنطلق من أن "الأهمية" تتوقف على السياق: الابتكار التدريجي أهم لاستقرار الإيرادات الحالية، والجذري أهم لضمان البقاء طويل الأمد؛ فالمؤسسات الناجحة توازن بين الاثنين ولا تنحاز لأحدهما مطلقاً.</w:t>
      </w:r>
    </w:p>
    <w:p w14:paraId="17E0D6AA">
      <w:pPr>
        <w:bidi/>
        <w:spacing w:after="160" w:line="300" w:lineRule="auto"/>
        <w:jc w:val="right"/>
      </w:pPr>
      <w:r>
        <w:rPr>
          <w:rFonts w:ascii="DejaVu Sans" w:hAnsi="DejaVu Sans" w:eastAsia="DejaVu Sans" w:cs="DejaVu Sans"/>
          <w:b/>
          <w:bCs/>
          <w:sz w:val="22"/>
          <w:szCs w:val="22"/>
          <w:rtl/>
        </w:rPr>
        <w:t xml:space="preserve">٢. كيف يمكن للمؤسسات الحكومية تطبيق الابتكار المفتوح؟ </w:t>
      </w:r>
      <w:r>
        <w:rPr>
          <w:rFonts w:ascii="DejaVu Sans" w:hAnsi="DejaVu Sans" w:eastAsia="DejaVu Sans" w:cs="DejaVu Sans"/>
          <w:b w:val="0"/>
          <w:bCs w:val="0"/>
          <w:sz w:val="22"/>
          <w:szCs w:val="22"/>
          <w:rtl/>
        </w:rPr>
        <w:t>— عبر شراكات مع الجامعات ومراكز البحث المحلية، وإطلاق مسابقات ابتكار حكومية مفتوحة للمواطنين والشركات الناشئة، وتبني منصات رقمية تتيح تلقي مقترحات تحسين الخدمات من الجمهور مباشرة.</w:t>
      </w:r>
    </w:p>
    <w:p w14:paraId="5550ADD8">
      <w:pPr>
        <w:bidi/>
        <w:spacing w:after="160" w:line="300" w:lineRule="auto"/>
        <w:jc w:val="right"/>
      </w:pPr>
      <w:r>
        <w:rPr>
          <w:rFonts w:ascii="DejaVu Sans" w:hAnsi="DejaVu Sans" w:eastAsia="DejaVu Sans" w:cs="DejaVu Sans"/>
          <w:b/>
          <w:bCs/>
          <w:sz w:val="22"/>
          <w:szCs w:val="22"/>
          <w:rtl/>
        </w:rPr>
        <w:t xml:space="preserve">٣. هل الذكاء الاصطناعي ابتكار جذري أم أداة لتسريع الابتكار؟ </w:t>
      </w:r>
      <w:r>
        <w:rPr>
          <w:rFonts w:ascii="DejaVu Sans" w:hAnsi="DejaVu Sans" w:eastAsia="DejaVu Sans" w:cs="DejaVu Sans"/>
          <w:b w:val="0"/>
          <w:bCs w:val="0"/>
          <w:sz w:val="22"/>
          <w:szCs w:val="22"/>
          <w:rtl/>
        </w:rPr>
        <w:t>— الإجابة الأدق أنه الاثنان معاً حسب زاوية النظر: هو ابتكار جذري في حد ذاته كتقنية غيّرت قواعد صناعات كاملة، وفي الوقت نفسه هو أداة مُمكِّنة (Enabler) تُسرّع عمليات الابتكار الأخرى كما وضّحت الشريحة ١٩.</w:t>
      </w:r>
    </w:p>
    <w:p w14:paraId="380AB00A">
      <w:pPr>
        <w:bidi/>
        <w:spacing w:after="160" w:line="300" w:lineRule="auto"/>
        <w:jc w:val="right"/>
      </w:pPr>
      <w:r>
        <w:rPr>
          <w:rFonts w:ascii="DejaVu Sans" w:hAnsi="DejaVu Sans" w:eastAsia="DejaVu Sans" w:cs="DejaVu Sans"/>
          <w:b/>
          <w:bCs/>
          <w:sz w:val="22"/>
          <w:szCs w:val="22"/>
          <w:rtl/>
        </w:rPr>
        <w:t xml:space="preserve">٤. كيف يمكن للمصارف العراقية بناء منظومة ابتكار مفتوح؟ </w:t>
      </w:r>
      <w:r>
        <w:rPr>
          <w:rFonts w:ascii="DejaVu Sans" w:hAnsi="DejaVu Sans" w:eastAsia="DejaVu Sans" w:cs="DejaVu Sans"/>
          <w:b w:val="0"/>
          <w:bCs w:val="0"/>
          <w:sz w:val="22"/>
          <w:szCs w:val="22"/>
          <w:rtl/>
        </w:rPr>
        <w:t>— بالبناء على المسار الموضّح في "حالة المصرف الرقمي": البدء بتحسينات تدريجية على القنوات الرقمية القائمة، ثم الانفتاح على شراكات مع شركات الفينتك المحلية والجامعات العراقية، مع الاستفادة من التجارب الإقليمية في الخدمات المصرفية الرقمية.</w:t>
      </w:r>
    </w:p>
    <w:p w14:paraId="0F4929AC">
      <w:pPr>
        <w:bidi/>
        <w:spacing w:after="160" w:line="300" w:lineRule="auto"/>
        <w:jc w:val="right"/>
      </w:pPr>
      <w:r>
        <w:rPr>
          <w:rFonts w:ascii="DejaVu Sans" w:hAnsi="DejaVu Sans" w:eastAsia="DejaVu Sans" w:cs="DejaVu Sans"/>
          <w:b/>
          <w:bCs/>
          <w:sz w:val="22"/>
          <w:szCs w:val="22"/>
          <w:rtl/>
        </w:rPr>
        <w:t xml:space="preserve">٥. ما مؤشرات قياس الابتكار الأكثر ملاءمة للجامعات؟ </w:t>
      </w:r>
      <w:r>
        <w:rPr>
          <w:rFonts w:ascii="DejaVu Sans" w:hAnsi="DejaVu Sans" w:eastAsia="DejaVu Sans" w:cs="DejaVu Sans"/>
          <w:b w:val="0"/>
          <w:bCs w:val="0"/>
          <w:sz w:val="22"/>
          <w:szCs w:val="22"/>
          <w:rtl/>
        </w:rPr>
        <w:t>— على غرار تصنيف مؤشرات القياس في الشريحة ٢٥: مدخلات (عدد الباحثين، تمويل المشاريع البحثية)، عمليات (عدد براءات الاختراع المُقدَّمة، سرعة تسويق نتائج البحث)، ومخرجات (عدد الشركات الناشئة المنبثقة عن الجامعة، الإيرادات من ترخيص التقنيات).</w:t>
      </w:r>
    </w:p>
    <w:p w14:paraId="7FCE608E">
      <w:pPr>
        <w:pStyle w:val="2"/>
        <w:pBdr>
          <w:bottom w:val="single" w:color="1F4E5F" w:sz="8" w:space="4"/>
        </w:pBdr>
        <w:bidi/>
        <w:spacing w:before="360" w:after="200"/>
        <w:jc w:val="right"/>
      </w:pPr>
      <w:r>
        <w:rPr>
          <w:rFonts w:ascii="DejaVu Sans" w:hAnsi="DejaVu Sans" w:eastAsia="DejaVu Sans" w:cs="DejaVu Sans"/>
          <w:b/>
          <w:bCs/>
          <w:color w:val="1F4E5F"/>
          <w:sz w:val="32"/>
          <w:szCs w:val="32"/>
          <w:rtl/>
        </w:rPr>
        <w:t>٢١. خلاصة المحاضرة والمراجع المقترحة</w:t>
      </w:r>
    </w:p>
    <w:p w14:paraId="7165F91D">
      <w:pPr>
        <w:pStyle w:val="4"/>
        <w:bidi/>
        <w:spacing w:before="200" w:after="100"/>
        <w:jc w:val="right"/>
      </w:pPr>
      <w:r>
        <w:rPr>
          <w:rFonts w:ascii="DejaVu Sans" w:hAnsi="DejaVu Sans" w:eastAsia="DejaVu Sans" w:cs="DejaVu Sans"/>
          <w:b/>
          <w:bCs/>
          <w:color w:val="444444"/>
          <w:sz w:val="23"/>
          <w:szCs w:val="23"/>
          <w:rtl/>
        </w:rPr>
        <w:t>الخلاصة النهائية</w:t>
      </w:r>
    </w:p>
    <w:p w14:paraId="479F2CCD">
      <w:pPr>
        <w:bidi/>
        <w:spacing w:after="160" w:line="300" w:lineRule="auto"/>
        <w:jc w:val="right"/>
      </w:pPr>
      <w:r>
        <w:rPr>
          <w:rFonts w:ascii="DejaVu Sans" w:hAnsi="DejaVu Sans" w:eastAsia="DejaVu Sans" w:cs="DejaVu Sans"/>
          <w:b/>
          <w:bCs/>
          <w:sz w:val="22"/>
          <w:szCs w:val="22"/>
          <w:rtl/>
        </w:rPr>
        <w:t xml:space="preserve">الجذري = </w:t>
      </w:r>
      <w:r>
        <w:rPr>
          <w:rFonts w:ascii="DejaVu Sans" w:hAnsi="DejaVu Sans" w:eastAsia="DejaVu Sans" w:cs="DejaVu Sans"/>
          <w:b w:val="0"/>
          <w:bCs w:val="0"/>
          <w:sz w:val="22"/>
          <w:szCs w:val="22"/>
          <w:rtl/>
        </w:rPr>
        <w:t>تغيير قواعد اللعبة.</w:t>
      </w:r>
    </w:p>
    <w:p w14:paraId="5438EDB4">
      <w:pPr>
        <w:bidi/>
        <w:spacing w:after="160" w:line="300" w:lineRule="auto"/>
        <w:jc w:val="right"/>
      </w:pPr>
      <w:r>
        <w:rPr>
          <w:rFonts w:ascii="DejaVu Sans" w:hAnsi="DejaVu Sans" w:eastAsia="DejaVu Sans" w:cs="DejaVu Sans"/>
          <w:b/>
          <w:bCs/>
          <w:sz w:val="22"/>
          <w:szCs w:val="22"/>
          <w:rtl/>
        </w:rPr>
        <w:t xml:space="preserve">التدريجي = </w:t>
      </w:r>
      <w:r>
        <w:rPr>
          <w:rFonts w:ascii="DejaVu Sans" w:hAnsi="DejaVu Sans" w:eastAsia="DejaVu Sans" w:cs="DejaVu Sans"/>
          <w:b w:val="0"/>
          <w:bCs w:val="0"/>
          <w:sz w:val="22"/>
          <w:szCs w:val="22"/>
          <w:rtl/>
        </w:rPr>
        <w:t>تحسين اللعبة.</w:t>
      </w:r>
    </w:p>
    <w:p w14:paraId="6A31E93D">
      <w:pPr>
        <w:bidi/>
        <w:spacing w:after="160" w:line="300" w:lineRule="auto"/>
        <w:jc w:val="right"/>
      </w:pPr>
      <w:r>
        <w:rPr>
          <w:rFonts w:ascii="DejaVu Sans" w:hAnsi="DejaVu Sans" w:eastAsia="DejaVu Sans" w:cs="DejaVu Sans"/>
          <w:b/>
          <w:bCs/>
          <w:sz w:val="22"/>
          <w:szCs w:val="22"/>
          <w:rtl/>
        </w:rPr>
        <w:t xml:space="preserve">المفتوح = </w:t>
      </w:r>
      <w:r>
        <w:rPr>
          <w:rFonts w:ascii="DejaVu Sans" w:hAnsi="DejaVu Sans" w:eastAsia="DejaVu Sans" w:cs="DejaVu Sans"/>
          <w:b w:val="0"/>
          <w:bCs w:val="0"/>
          <w:sz w:val="22"/>
          <w:szCs w:val="22"/>
          <w:rtl/>
        </w:rPr>
        <w:t>توسيع مصادر اللعبة.</w:t>
      </w:r>
    </w:p>
    <w:p w14:paraId="2E586FE9">
      <w:pPr>
        <w:bidi/>
        <w:spacing w:after="160" w:line="300" w:lineRule="auto"/>
        <w:jc w:val="right"/>
      </w:pPr>
      <w:r>
        <w:rPr>
          <w:rFonts w:ascii="DejaVu Sans" w:hAnsi="DejaVu Sans" w:eastAsia="DejaVu Sans" w:cs="DejaVu Sans"/>
          <w:b/>
          <w:bCs/>
          <w:sz w:val="22"/>
          <w:szCs w:val="22"/>
          <w:rtl/>
        </w:rPr>
        <w:t xml:space="preserve">المستمر = </w:t>
      </w:r>
      <w:r>
        <w:rPr>
          <w:rFonts w:ascii="DejaVu Sans" w:hAnsi="DejaVu Sans" w:eastAsia="DejaVu Sans" w:cs="DejaVu Sans"/>
          <w:b w:val="0"/>
          <w:bCs w:val="0"/>
          <w:sz w:val="22"/>
          <w:szCs w:val="22"/>
          <w:rtl/>
        </w:rPr>
        <w:t>جعل الابتكار أسلوب عمل دائم.</w:t>
      </w:r>
    </w:p>
    <w:p w14:paraId="590DA24D">
      <w:pPr>
        <w:pStyle w:val="4"/>
        <w:bidi/>
        <w:spacing w:before="200" w:after="100"/>
        <w:jc w:val="right"/>
      </w:pPr>
      <w:r>
        <w:rPr>
          <w:rFonts w:ascii="DejaVu Sans" w:hAnsi="DejaVu Sans" w:eastAsia="DejaVu Sans" w:cs="DejaVu Sans"/>
          <w:b/>
          <w:bCs/>
          <w:color w:val="444444"/>
          <w:sz w:val="23"/>
          <w:szCs w:val="23"/>
          <w:rtl/>
        </w:rPr>
        <w:t>المراجع المقترحة</w:t>
      </w:r>
    </w:p>
    <w:p w14:paraId="11317F91">
      <w:pPr>
        <w:pStyle w:val="16"/>
        <w:numPr>
          <w:ilvl w:val="0"/>
          <w:numId w:val="1"/>
        </w:numPr>
        <w:bidi/>
        <w:spacing w:after="100" w:line="290" w:lineRule="auto"/>
        <w:jc w:val="right"/>
      </w:pPr>
      <w:r>
        <w:rPr>
          <w:rFonts w:ascii="DejaVu Sans" w:hAnsi="DejaVu Sans" w:eastAsia="DejaVu Sans" w:cs="DejaVu Sans"/>
          <w:sz w:val="22"/>
          <w:szCs w:val="22"/>
          <w:rtl/>
        </w:rPr>
        <w:t>Schumpeter, J. — The Theory of Economic Development</w:t>
      </w:r>
    </w:p>
    <w:p w14:paraId="66DF6916">
      <w:pPr>
        <w:pStyle w:val="16"/>
        <w:numPr>
          <w:ilvl w:val="0"/>
          <w:numId w:val="1"/>
        </w:numPr>
        <w:bidi/>
        <w:spacing w:after="100" w:line="290" w:lineRule="auto"/>
        <w:jc w:val="right"/>
      </w:pPr>
      <w:r>
        <w:rPr>
          <w:rFonts w:ascii="DejaVu Sans" w:hAnsi="DejaVu Sans" w:eastAsia="DejaVu Sans" w:cs="DejaVu Sans"/>
          <w:sz w:val="22"/>
          <w:szCs w:val="22"/>
          <w:rtl/>
        </w:rPr>
        <w:t>Chesbrough, H. — Open Innovation</w:t>
      </w:r>
    </w:p>
    <w:p w14:paraId="3BCE32AE">
      <w:pPr>
        <w:pStyle w:val="16"/>
        <w:numPr>
          <w:ilvl w:val="0"/>
          <w:numId w:val="1"/>
        </w:numPr>
        <w:bidi/>
        <w:spacing w:after="100" w:line="290" w:lineRule="auto"/>
        <w:jc w:val="right"/>
      </w:pPr>
      <w:r>
        <w:rPr>
          <w:rFonts w:ascii="DejaVu Sans" w:hAnsi="DejaVu Sans" w:eastAsia="DejaVu Sans" w:cs="DejaVu Sans"/>
          <w:sz w:val="22"/>
          <w:szCs w:val="22"/>
          <w:rtl/>
        </w:rPr>
        <w:t>Christensen, C. — The Innovator's Dilemma</w:t>
      </w:r>
    </w:p>
    <w:p w14:paraId="5AFE1C7B">
      <w:pPr>
        <w:pStyle w:val="16"/>
        <w:numPr>
          <w:ilvl w:val="0"/>
          <w:numId w:val="1"/>
        </w:numPr>
        <w:bidi/>
        <w:spacing w:after="100" w:line="290" w:lineRule="auto"/>
        <w:jc w:val="right"/>
      </w:pPr>
      <w:r>
        <w:rPr>
          <w:rFonts w:ascii="DejaVu Sans" w:hAnsi="DejaVu Sans" w:eastAsia="DejaVu Sans" w:cs="DejaVu Sans"/>
          <w:sz w:val="22"/>
          <w:szCs w:val="22"/>
          <w:rtl/>
        </w:rPr>
        <w:t>Tidd, J. &amp; Bessant, J. — Managing Innovation</w:t>
      </w:r>
    </w:p>
    <w:p w14:paraId="377266D7">
      <w:pPr>
        <w:pStyle w:val="16"/>
        <w:numPr>
          <w:ilvl w:val="0"/>
          <w:numId w:val="1"/>
        </w:numPr>
        <w:bidi/>
        <w:spacing w:after="100" w:line="290" w:lineRule="auto"/>
        <w:jc w:val="right"/>
      </w:pPr>
      <w:r>
        <w:rPr>
          <w:rFonts w:ascii="DejaVu Sans" w:hAnsi="DejaVu Sans" w:eastAsia="DejaVu Sans" w:cs="DejaVu Sans"/>
          <w:sz w:val="22"/>
          <w:szCs w:val="22"/>
          <w:rtl/>
        </w:rPr>
        <w:t>OECD/Eurostat — Oslo Manual</w:t>
      </w:r>
    </w:p>
    <w:sectPr>
      <w:pgSz w:w="11906" w:h="16838"/>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DejaVu Sans">
    <w:altName w:val="SimSun"/>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6E64E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DejaVu Sans" w:hAnsi="DejaVu Sans" w:eastAsia="DejaVu Sans" w:cs="DejaVu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DejaVu Sans" w:hAnsi="DejaVu Sans" w:eastAsia="DejaVu Sans" w:cs="DejaVu Sans"/>
      <w:sz w:val="22"/>
      <w:szCs w:val="22"/>
      <w:rtl/>
    </w:rPr>
  </w:style>
  <w:style w:type="paragraph" w:styleId="2">
    <w:name w:val="heading 1"/>
    <w:next w:val="1"/>
    <w:qFormat/>
    <w:uiPriority w:val="0"/>
    <w:rPr>
      <w:rFonts w:ascii="DejaVu Sans" w:hAnsi="DejaVu Sans" w:eastAsia="DejaVu Sans" w:cs="DejaVu Sans"/>
      <w:color w:val="2E74B5"/>
      <w:sz w:val="32"/>
      <w:szCs w:val="32"/>
      <w:rtl/>
    </w:rPr>
  </w:style>
  <w:style w:type="paragraph" w:styleId="3">
    <w:name w:val="heading 2"/>
    <w:next w:val="1"/>
    <w:qFormat/>
    <w:uiPriority w:val="0"/>
    <w:rPr>
      <w:rFonts w:ascii="DejaVu Sans" w:hAnsi="DejaVu Sans" w:eastAsia="DejaVu Sans" w:cs="DejaVu Sans"/>
      <w:color w:val="2E74B5"/>
      <w:sz w:val="26"/>
      <w:szCs w:val="26"/>
      <w:rtl/>
    </w:rPr>
  </w:style>
  <w:style w:type="paragraph" w:styleId="4">
    <w:name w:val="heading 3"/>
    <w:next w:val="1"/>
    <w:qFormat/>
    <w:uiPriority w:val="0"/>
    <w:rPr>
      <w:rFonts w:ascii="DejaVu Sans" w:hAnsi="DejaVu Sans" w:eastAsia="DejaVu Sans" w:cs="DejaVu Sans"/>
      <w:color w:val="1F4D78"/>
      <w:sz w:val="24"/>
      <w:szCs w:val="24"/>
      <w:rtl/>
    </w:rPr>
  </w:style>
  <w:style w:type="paragraph" w:styleId="5">
    <w:name w:val="heading 4"/>
    <w:next w:val="1"/>
    <w:qFormat/>
    <w:uiPriority w:val="0"/>
    <w:rPr>
      <w:rFonts w:ascii="DejaVu Sans" w:hAnsi="DejaVu Sans" w:eastAsia="DejaVu Sans" w:cs="DejaVu Sans"/>
      <w:i/>
      <w:iCs/>
      <w:color w:val="2E74B5"/>
      <w:sz w:val="22"/>
      <w:szCs w:val="22"/>
      <w:rtl/>
    </w:rPr>
  </w:style>
  <w:style w:type="paragraph" w:styleId="6">
    <w:name w:val="heading 5"/>
    <w:next w:val="1"/>
    <w:qFormat/>
    <w:uiPriority w:val="0"/>
    <w:rPr>
      <w:rFonts w:ascii="DejaVu Sans" w:hAnsi="DejaVu Sans" w:eastAsia="DejaVu Sans" w:cs="DejaVu Sans"/>
      <w:color w:val="2E74B5"/>
      <w:sz w:val="22"/>
      <w:szCs w:val="22"/>
      <w:rtl/>
    </w:rPr>
  </w:style>
  <w:style w:type="paragraph" w:styleId="7">
    <w:name w:val="heading 6"/>
    <w:next w:val="1"/>
    <w:qFormat/>
    <w:uiPriority w:val="0"/>
    <w:rPr>
      <w:rFonts w:ascii="DejaVu Sans" w:hAnsi="DejaVu Sans" w:eastAsia="DejaVu Sans" w:cs="DejaVu Sans"/>
      <w:color w:val="1F4D78"/>
      <w:sz w:val="22"/>
      <w:szCs w:val="22"/>
      <w:rtl/>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DejaVu Sans" w:hAnsi="DejaVu Sans" w:eastAsia="DejaVu Sans" w:cs="DejaVu Sans"/>
      <w:sz w:val="20"/>
      <w:szCs w:val="20"/>
      <w:rtl/>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DejaVu Sans" w:hAnsi="DejaVu Sans" w:eastAsia="DejaVu Sans" w:cs="DejaVu Sans"/>
      <w:sz w:val="20"/>
      <w:szCs w:val="20"/>
      <w:rtl/>
    </w:rPr>
  </w:style>
  <w:style w:type="character" w:styleId="14">
    <w:name w:val="Hyperlink"/>
    <w:unhideWhenUsed/>
    <w:uiPriority w:val="99"/>
    <w:rPr>
      <w:color w:val="0563C1"/>
      <w:u w:val="single"/>
    </w:rPr>
  </w:style>
  <w:style w:type="paragraph" w:styleId="15">
    <w:name w:val="Title"/>
    <w:qFormat/>
    <w:uiPriority w:val="0"/>
    <w:rPr>
      <w:rFonts w:ascii="DejaVu Sans" w:hAnsi="DejaVu Sans" w:eastAsia="DejaVu Sans" w:cs="DejaVu Sans"/>
      <w:sz w:val="56"/>
      <w:szCs w:val="56"/>
      <w:rtl/>
    </w:rPr>
  </w:style>
  <w:style w:type="paragraph" w:styleId="16">
    <w:name w:val="List Paragraph"/>
    <w:qFormat/>
    <w:uiPriority w:val="0"/>
    <w:rPr>
      <w:rFonts w:ascii="DejaVu Sans" w:hAnsi="DejaVu Sans" w:eastAsia="DejaVu Sans" w:cs="DejaVu Sans"/>
      <w:sz w:val="22"/>
      <w:szCs w:val="22"/>
      <w:rtl/>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132</Words>
  <Characters>783</Characters>
  <TotalTime>0</TotalTime>
  <ScaleCrop>false</ScaleCrop>
  <LinksUpToDate>false</LinksUpToDate>
  <CharactersWithSpaces>908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2026-09-10T10:05:00Z</dcterms:created>
  <dc:creator>Un-named</dc:creator>
  <cp:lastModifiedBy>msi</cp:lastModifiedBy>
  <dcterms:modified xsi:type="dcterms:W3CDTF">2026-09-10T15:39:19Z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5A5913C542904548A7F389B459594DDF_13</vt:lpwstr>
  </property>
</Properties>
</file>