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13:32:02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b6d9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f2ba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114d8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