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3000"/>
        <w:jc w:val="right"/>
      </w:pPr>
      <w:r>
        <w:rPr>
          <w:rFonts w:ascii="Arial" w:cs="Arial" w:eastAsia="Arial" w:hAnsi="Arial"/>
          <w:b/>
          <w:bCs/>
          <w:color w:val="4F9AC2"/>
          <w:sz w:val="28"/>
          <w:szCs w:val="28"/>
        </w:rPr>
        <w:t xml:space="preserve">ملف تعريفي وتقرير وقائع تقنية</w:t>
      </w:r>
    </w:p>
    <w:p>
      <w:pPr>
        <w:bidi/>
        <w:spacing w:after="250"/>
        <w:jc w:val="right"/>
      </w:pPr>
      <w:r>
        <w:rPr>
          <w:rFonts w:ascii="Arial" w:cs="Arial" w:eastAsia="Arial" w:hAnsi="Arial"/>
          <w:b/>
          <w:bCs/>
          <w:color w:val="0D3C5A"/>
          <w:sz w:val="45"/>
          <w:szCs w:val="45"/>
        </w:rPr>
        <w:t xml:space="preserve">RABAB LEGAL AI
رَبَاب — محاميتك الرقمية</w:t>
      </w:r>
    </w:p>
    <w:p>
      <w:pPr>
        <w:bidi/>
        <w:spacing w:after="500" w:before="0" w:line="310"/>
        <w:jc w:val="right"/>
      </w:pPr>
      <w:r>
        <w:rPr>
          <w:rFonts w:ascii="Arial" w:cs="Arial" w:eastAsia="Arial" w:hAnsi="Arial"/>
          <w:b w:val="false"/>
          <w:bCs w:val="false"/>
          <w:i w:val="false"/>
          <w:iCs w:val="false"/>
          <w:color w:val="53616D"/>
          <w:sz w:val="26"/>
          <w:szCs w:val="26"/>
        </w:rPr>
        <w:t xml:space="preserve">وثيقة موجّهة لدعم Replit: وصف المشروع، البنية التقنية، الوقائع التشغيلية، والأثر المطلوب مراجعته</w:t>
      </w:r>
    </w:p>
    <w:p>
      <w:pPr>
        <w:shd w:fill="FFF6DB"/>
        <w:bidi/>
        <w:spacing w:after="420" w:before="0" w:line="310"/>
        <w:jc w:val="right"/>
      </w:pPr>
      <w:r>
        <w:rPr>
          <w:rFonts w:ascii="Arial" w:cs="Arial" w:eastAsia="Arial" w:hAnsi="Arial"/>
          <w:b w:val="false"/>
          <w:bCs w:val="false"/>
          <w:i w:val="false"/>
          <w:iCs w:val="false"/>
          <w:color w:val="17212B"/>
          <w:sz w:val="22"/>
          <w:szCs w:val="22"/>
        </w:rPr>
        <w:t xml:space="preserve">غرض الوثيقة: تم إعداد هذا الملف لتقديم سياق واضح لفريق الدعم، وليس لتضمينه أي أسرار أو بيانات عملاء أو مفاتيح وصول. ويجب إرفاق الفواتير وسجلات الاستخدام ذات الصلة عند تقديم مطالبة مالية.</w:t>
      </w:r>
    </w:p>
    <w:p>
      <w:pPr>
        <w:shd w:fill="F7FAFB"/>
        <w:bidi/>
        <w:spacing w:after="130" w:before="0" w:line="310"/>
        <w:jc w:val="right"/>
      </w:pPr>
      <w:r>
        <w:rPr>
          <w:rFonts w:ascii="Arial" w:cs="Arial" w:eastAsia="Arial" w:hAnsi="Arial"/>
          <w:b w:val="false"/>
          <w:bCs w:val="false"/>
          <w:i w:val="false"/>
          <w:iCs w:val="false"/>
          <w:color w:val="17212B"/>
          <w:sz w:val="22"/>
          <w:szCs w:val="22"/>
        </w:rPr>
        <w:t xml:space="preserve">اسم المشروع: RABAB LEGAL AI
نوع المشروع: منصة استشارات وبحث قانوني مدعومة بالذكاء الاصطناعي
النطاق: الأنظمة السعودية وأنظمة دول مجلس التعاون الخليجي
تاريخ إعداد الوثيقة: 20 أغسطس 2026
بيانات يجب استكمالها قبل الإرسال: رابط المشروع على Replit، البريد المرتبط بالحساب، أرقام الفواتير، وفترة الاستخدام محل الاعتراض.</w:t>
      </w:r>
    </w:p>
    <w:p>
      <w:pPr>
        <w:pStyle w:val="Heading1"/>
        <w:bidi/>
        <w:spacing w:after="130" w:before="280"/>
        <w:jc w:val="right"/>
        <w:rPr>
          <w:rFonts w:ascii="Arial" w:cs="Arial" w:eastAsia="Arial" w:hAnsi="Arial"/>
          <w:b/>
          <w:bCs/>
          <w:color w:val="0D3C5A"/>
          <w:sz w:val="32"/>
          <w:szCs w:val="32"/>
        </w:rPr>
      </w:pPr>
      <w:r>
        <w:t xml:space="preserve">1. الملخص التنفيذي</w:t>
      </w:r>
    </w:p>
    <w:p>
      <w:pPr>
        <w:shd w:fill="EAF5FA"/>
        <w:bidi/>
        <w:spacing w:after="130" w:before="0" w:line="310"/>
        <w:jc w:val="right"/>
      </w:pPr>
      <w:r>
        <w:rPr>
          <w:rFonts w:ascii="Arial" w:cs="Arial" w:eastAsia="Arial" w:hAnsi="Arial"/>
          <w:b w:val="false"/>
          <w:bCs w:val="false"/>
          <w:i w:val="false"/>
          <w:iCs w:val="false"/>
          <w:color w:val="17212B"/>
          <w:sz w:val="23"/>
          <w:szCs w:val="23"/>
        </w:rPr>
        <w:t xml:space="preserve">المشروع عبارة عن منصة قانونية عربية متكاملة تقدم استشارات أولية وبحثاً نظامياً وقضائياً وتحليل عقود، مع قاعدة معرفة قانونية، وآليات للتحقق من المصادر، وحدود استخدام مرتبطة بالباقات. يعمل المشروع كمنظومة متعددة الأجزاء داخل Replit: واجهة ويب، خادم API، قاعدة بيانات، وتطبيق جوال مرافق.</w:t>
      </w:r>
    </w:p>
    <w:p>
      <w:pPr>
        <w:bidi/>
        <w:spacing w:after="130" w:before="0" w:line="310"/>
        <w:jc w:val="right"/>
      </w:pPr>
      <w:r>
        <w:rPr>
          <w:rFonts w:ascii="Arial" w:cs="Arial" w:eastAsia="Arial" w:hAnsi="Arial"/>
          <w:b w:val="false"/>
          <w:bCs w:val="false"/>
          <w:i w:val="false"/>
          <w:iCs w:val="false"/>
          <w:color w:val="17212B"/>
          <w:sz w:val="23"/>
          <w:szCs w:val="23"/>
        </w:rPr>
        <w:t xml:space="preserve">خلال التطوير والتشغيل ظهرت وقائع تقنية أثرت في الوقت والتكلفة: التباس بين بيئة التطوير والإنتاج في سياق معالجة دخول مدير النظام، تكرار محتمل لطلبات البحث المدفوع عبر Tavily في أول رسالة من الاستشارة، وقيود عملية على تعديل بيانات الإنتاج من خلال أدوات الوكيل. عولجت بعض هذه النقاط برمجياً، إلا أن المطلوب من الدعم هو مراجعة السجل، وتوضيح القيود، والنظر في الأثر المالي المثبت بالفواتير وسجلات الاستخدام.</w:t>
      </w:r>
    </w:p>
    <w:p>
      <w:pPr>
        <w:pStyle w:val="Heading2"/>
        <w:bidi/>
        <w:spacing w:after="130" w:before="180"/>
        <w:jc w:val="right"/>
        <w:rPr>
          <w:rFonts w:ascii="Arial" w:cs="Arial" w:eastAsia="Arial" w:hAnsi="Arial"/>
          <w:b/>
          <w:bCs/>
          <w:color w:val="0D3C5A"/>
          <w:sz w:val="27"/>
          <w:szCs w:val="27"/>
        </w:rPr>
      </w:pPr>
      <w:r>
        <w:t xml:space="preserve">ما المطلوب من دعم Replit</w:t>
      </w:r>
    </w:p>
    <w:p>
      <w:pPr>
        <w:bidi/>
        <w:spacing w:after="80" w:line="295"/>
        <w:jc w:val="right"/>
        <w:rPr>
          <w:rFonts w:ascii="Arial" w:cs="Arial" w:eastAsia="Arial" w:hAnsi="Arial"/>
          <w:sz w:val="22"/>
          <w:szCs w:val="22"/>
        </w:rPr>
      </w:pPr>
      <w:r>
        <w:t xml:space="preserve">1. مراجعة سجل تنفيذ الوكيل وسجل بيئات المشروع خلال الوقائع الموضحة أدناه.</w:t>
      </w:r>
    </w:p>
    <w:p>
      <w:pPr>
        <w:bidi/>
        <w:spacing w:after="80" w:line="295"/>
        <w:jc w:val="right"/>
        <w:rPr>
          <w:rFonts w:ascii="Arial" w:cs="Arial" w:eastAsia="Arial" w:hAnsi="Arial"/>
          <w:sz w:val="22"/>
          <w:szCs w:val="22"/>
        </w:rPr>
      </w:pPr>
      <w:r>
        <w:t xml:space="preserve">2. توضيح ما إذا كانت أداة الوصول إلى قاعدة بيانات الإنتاج تدعم التعديل أم القراءة فقط، وكيف يظهر ذلك للمستخدم قبل بدء العملية.</w:t>
      </w:r>
    </w:p>
    <w:p>
      <w:pPr>
        <w:bidi/>
        <w:spacing w:after="80" w:line="295"/>
        <w:jc w:val="right"/>
        <w:rPr>
          <w:rFonts w:ascii="Arial" w:cs="Arial" w:eastAsia="Arial" w:hAnsi="Arial"/>
          <w:sz w:val="22"/>
          <w:szCs w:val="22"/>
        </w:rPr>
      </w:pPr>
      <w:r>
        <w:t xml:space="preserve">3. مراجعة استهلاك الرصيد والفوترة المرتبط بطلبات الوكيل وطلبات البحث الخارجي خلال فترة الحادثة.</w:t>
      </w:r>
    </w:p>
    <w:p>
      <w:pPr>
        <w:bidi/>
        <w:spacing w:after="80" w:line="295"/>
        <w:jc w:val="right"/>
        <w:rPr>
          <w:rFonts w:ascii="Arial" w:cs="Arial" w:eastAsia="Arial" w:hAnsi="Arial"/>
          <w:sz w:val="22"/>
          <w:szCs w:val="22"/>
        </w:rPr>
      </w:pPr>
      <w:r>
        <w:t xml:space="preserve">4. تزويدنا بتفسير رسمي للإجراءات الوقائية المتاحة لتقليل احتمال استهداف البيئة الخاطئة أو تشغيل عمليات متكررة مكلفة.</w:t>
      </w:r>
    </w:p>
    <w:p>
      <w:pPr>
        <w:bidi/>
        <w:spacing w:after="80" w:line="295"/>
        <w:jc w:val="right"/>
        <w:rPr>
          <w:rFonts w:ascii="Arial" w:cs="Arial" w:eastAsia="Arial" w:hAnsi="Arial"/>
          <w:sz w:val="22"/>
          <w:szCs w:val="22"/>
        </w:rPr>
      </w:pPr>
      <w:r>
        <w:t xml:space="preserve">5. النظر في تعويض أو رصيد مناسب، إذا أثبتت السجلات أن الهدر ناتج عن سلوك الوكيل أو قيود لم تكن ظاهرة بوضوح.</w:t>
      </w:r>
    </w:p>
    <w:p>
      <w:pPr>
        <w:pStyle w:val="Heading1"/>
        <w:bidi/>
        <w:spacing w:after="130" w:before="280"/>
        <w:jc w:val="right"/>
        <w:rPr>
          <w:rFonts w:ascii="Arial" w:cs="Arial" w:eastAsia="Arial" w:hAnsi="Arial"/>
          <w:b/>
          <w:bCs/>
          <w:color w:val="0D3C5A"/>
          <w:sz w:val="32"/>
          <w:szCs w:val="32"/>
        </w:rPr>
      </w:pPr>
      <w:r>
        <w:t xml:space="preserve">2. تعريف المشروع ونطاقه الوظيفي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الخدمة</w:t>
            </w:r>
          </w:p>
        </w:tc>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الوصف</w:t>
            </w:r>
          </w:p>
        </w:tc>
      </w:tr>
      <w:tr>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الاستشارة القانونية العامة</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إجابات قانونية أولية، حقوق والتزامات، إجراء عملي، جهة مختصة، ومستندات أو مواعيد لازمة.</w:t>
            </w:r>
          </w:p>
        </w:tc>
      </w:tr>
      <w:tr>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الاستشارة القضائية وإدارة القضايا</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تحليل قانوني أعمق للمختصين، تنظيم ملف القضية، الجلسات، المذكرات، الأدلة والمخاطر.</w:t>
            </w:r>
          </w:p>
        </w:tc>
      </w:tr>
      <w:tr>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الباحث القانوني الذكي</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بحث في الأنظمة واللوائح والقرارات والتعاميم والأحكام والمبادئ والمدونات القضائية مع روابط ومعلومات مرجعية.</w:t>
            </w:r>
          </w:p>
        </w:tc>
      </w:tr>
      <w:tr>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العقود والمستندات</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صياغة وتحليل ومراجعة العقود، استخراج النص من الملفات، ومراجعة النص المستخرج قبل تشغيل التحليل.</w:t>
            </w:r>
          </w:p>
        </w:tc>
      </w:tr>
    </w:tbl>
    <w:p>
      <w:pPr>
        <w:pStyle w:val="Heading2"/>
        <w:bidi/>
        <w:spacing w:after="130" w:before="180"/>
        <w:jc w:val="right"/>
        <w:rPr>
          <w:rFonts w:ascii="Arial" w:cs="Arial" w:eastAsia="Arial" w:hAnsi="Arial"/>
          <w:b/>
          <w:bCs/>
          <w:color w:val="0D3C5A"/>
          <w:sz w:val="27"/>
          <w:szCs w:val="27"/>
        </w:rPr>
      </w:pPr>
      <w:r>
        <w:t xml:space="preserve">ضوابط مهنية أساسية</w:t>
      </w:r>
    </w:p>
    <w:p>
      <w:pPr>
        <w:pStyle w:val="ListParagraph"/>
        <w:numPr>
          <w:ilvl w:val="0"/>
          <w:numId w:val="1"/>
        </w:numPr>
        <w:bidi/>
        <w:spacing w:after="70" w:line="295"/>
        <w:jc w:val="right"/>
        <w:rPr>
          <w:rFonts w:ascii="Arial" w:cs="Arial" w:eastAsia="Arial" w:hAnsi="Arial"/>
          <w:sz w:val="22"/>
          <w:szCs w:val="22"/>
        </w:rPr>
      </w:pPr>
      <w:r>
        <w:t xml:space="preserve">عدم اختلاق مواد نظامية أو أحكام أو تعاميم أو روابط مصادر.</w:t>
      </w:r>
    </w:p>
    <w:p>
      <w:pPr>
        <w:pStyle w:val="ListParagraph"/>
        <w:numPr>
          <w:ilvl w:val="0"/>
          <w:numId w:val="1"/>
        </w:numPr>
        <w:bidi/>
        <w:spacing w:after="70" w:line="295"/>
        <w:jc w:val="right"/>
        <w:rPr>
          <w:rFonts w:ascii="Arial" w:cs="Arial" w:eastAsia="Arial" w:hAnsi="Arial"/>
          <w:sz w:val="22"/>
          <w:szCs w:val="22"/>
        </w:rPr>
      </w:pPr>
      <w:r>
        <w:t xml:space="preserve">التمييز بين النص النظامي، الحكم، التعميم، والرأي التحليلي.</w:t>
      </w:r>
    </w:p>
    <w:p>
      <w:pPr>
        <w:pStyle w:val="ListParagraph"/>
        <w:numPr>
          <w:ilvl w:val="0"/>
          <w:numId w:val="1"/>
        </w:numPr>
        <w:bidi/>
        <w:spacing w:after="70" w:line="295"/>
        <w:jc w:val="right"/>
        <w:rPr>
          <w:rFonts w:ascii="Arial" w:cs="Arial" w:eastAsia="Arial" w:hAnsi="Arial"/>
          <w:sz w:val="22"/>
          <w:szCs w:val="22"/>
        </w:rPr>
      </w:pPr>
      <w:r>
        <w:t xml:space="preserve">تطبيق حدود الاستخدام بعد نجاح الخدمة، وربطها بالباقات والاشتراكات.</w:t>
      </w:r>
    </w:p>
    <w:p>
      <w:pPr>
        <w:pStyle w:val="ListParagraph"/>
        <w:numPr>
          <w:ilvl w:val="0"/>
          <w:numId w:val="1"/>
        </w:numPr>
        <w:bidi/>
        <w:spacing w:after="70" w:line="295"/>
        <w:jc w:val="right"/>
        <w:rPr>
          <w:rFonts w:ascii="Arial" w:cs="Arial" w:eastAsia="Arial" w:hAnsi="Arial"/>
          <w:sz w:val="22"/>
          <w:szCs w:val="22"/>
        </w:rPr>
      </w:pPr>
      <w:r>
        <w:t xml:space="preserve">عزل بيانات كل مستخدم وكل قضية، وعدم إدراج محتوى الملفات في سجلات الأخطاء.</w:t>
      </w:r>
    </w:p>
    <w:p>
      <w:pPr>
        <w:pStyle w:val="ListParagraph"/>
        <w:numPr>
          <w:ilvl w:val="0"/>
          <w:numId w:val="1"/>
        </w:numPr>
        <w:bidi/>
        <w:spacing w:after="70" w:line="295"/>
        <w:jc w:val="right"/>
        <w:rPr>
          <w:rFonts w:ascii="Arial" w:cs="Arial" w:eastAsia="Arial" w:hAnsi="Arial"/>
          <w:sz w:val="22"/>
          <w:szCs w:val="22"/>
        </w:rPr>
      </w:pPr>
      <w:r>
        <w:t xml:space="preserve">إظهار إخلاء مسؤولية مهني بأن المخرجات مساعدة ولا تحل محل المراجعة المهنية اللازمة.</w:t>
      </w:r>
    </w:p>
    <w:p>
      <w:pPr>
        <w:pStyle w:val="Heading1"/>
        <w:bidi/>
        <w:spacing w:after="130" w:before="280"/>
        <w:jc w:val="right"/>
        <w:rPr>
          <w:rFonts w:ascii="Arial" w:cs="Arial" w:eastAsia="Arial" w:hAnsi="Arial"/>
          <w:b/>
          <w:bCs/>
          <w:color w:val="0D3C5A"/>
          <w:sz w:val="32"/>
          <w:szCs w:val="32"/>
        </w:rPr>
      </w:pPr>
      <w:r>
        <w:t xml:space="preserve">3. البنية التقنية وبيئة التشغيل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المكوّن</w:t>
            </w:r>
          </w:p>
        </w:tc>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الدور</w:t>
            </w:r>
          </w:p>
        </w:tc>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التقنيات الرئيسية</w:t>
            </w:r>
          </w:p>
        </w:tc>
      </w:tr>
      <w:tr>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واجهة الويب</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تطبيق RTL عربي للمستخدمين والإدارة</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React، Vite، TypeScript، Tailwind CSS، React Query</w:t>
            </w:r>
          </w:p>
        </w:tc>
      </w:tr>
      <w:tr>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خادم API</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مصادقة، استشارات، بحث، مدفوعات، اشتراكات، ملفات، ولوحات إدارة</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Node.js، Express 5، TypeScript، Zod</w:t>
            </w:r>
          </w:p>
        </w:tc>
      </w:tr>
      <w:tr>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قاعدة البيانات</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المستخدمون والجلسات والاستشارات والباقات والمدفوعات والمعرفة القانونية</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PostgreSQL، Drizzle ORM</w:t>
            </w:r>
          </w:p>
        </w:tc>
      </w:tr>
      <w:tr>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قاعدة المعرفة والبحث</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استرجاع المقاطع القانونية والبحث المباشر والتحقق من المصادر</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OpenAI، RAG، Tavily عند الحاجة</w:t>
            </w:r>
          </w:p>
        </w:tc>
      </w:tr>
      <w:tr>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تطبيق الجوال</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رفيق جوال للمنصة</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Expo / React Native</w:t>
            </w:r>
          </w:p>
        </w:tc>
      </w:tr>
    </w:tbl>
    <w:p>
      <w:pPr>
        <w:pStyle w:val="Heading2"/>
        <w:bidi/>
        <w:spacing w:after="130" w:before="180"/>
        <w:jc w:val="right"/>
        <w:rPr>
          <w:rFonts w:ascii="Arial" w:cs="Arial" w:eastAsia="Arial" w:hAnsi="Arial"/>
          <w:b/>
          <w:bCs/>
          <w:color w:val="0D3C5A"/>
          <w:sz w:val="27"/>
          <w:szCs w:val="27"/>
        </w:rPr>
      </w:pPr>
      <w:r>
        <w:t xml:space="preserve">تكاملات وخدمات تشغيلية</w:t>
      </w:r>
    </w:p>
    <w:p>
      <w:pPr>
        <w:pStyle w:val="ListParagraph"/>
        <w:numPr>
          <w:ilvl w:val="0"/>
          <w:numId w:val="1"/>
        </w:numPr>
        <w:bidi/>
        <w:spacing w:after="70" w:line="295"/>
        <w:jc w:val="right"/>
        <w:rPr>
          <w:rFonts w:ascii="Arial" w:cs="Arial" w:eastAsia="Arial" w:hAnsi="Arial"/>
          <w:sz w:val="22"/>
          <w:szCs w:val="22"/>
        </w:rPr>
      </w:pPr>
      <w:r>
        <w:t xml:space="preserve">OpenAI للمعالجة اللغوية والبحث الدلالي والتحليل، عبر إعداد آمن لمتغيرات البيئة.</w:t>
      </w:r>
    </w:p>
    <w:p>
      <w:pPr>
        <w:pStyle w:val="ListParagraph"/>
        <w:numPr>
          <w:ilvl w:val="0"/>
          <w:numId w:val="1"/>
        </w:numPr>
        <w:bidi/>
        <w:spacing w:after="70" w:line="295"/>
        <w:jc w:val="right"/>
        <w:rPr>
          <w:rFonts w:ascii="Arial" w:cs="Arial" w:eastAsia="Arial" w:hAnsi="Arial"/>
          <w:sz w:val="22"/>
          <w:szCs w:val="22"/>
        </w:rPr>
      </w:pPr>
      <w:r>
        <w:t xml:space="preserve">Moyasar لمعالجة الدفع ضمن الباقات.</w:t>
      </w:r>
    </w:p>
    <w:p>
      <w:pPr>
        <w:pStyle w:val="ListParagraph"/>
        <w:numPr>
          <w:ilvl w:val="0"/>
          <w:numId w:val="1"/>
        </w:numPr>
        <w:bidi/>
        <w:spacing w:after="70" w:line="295"/>
        <w:jc w:val="right"/>
        <w:rPr>
          <w:rFonts w:ascii="Arial" w:cs="Arial" w:eastAsia="Arial" w:hAnsi="Arial"/>
          <w:sz w:val="22"/>
          <w:szCs w:val="22"/>
        </w:rPr>
      </w:pPr>
      <w:r>
        <w:t xml:space="preserve">Tavily للبحث القانوني/الويب عند الحاجة إلى مصادر مباشرة.</w:t>
      </w:r>
    </w:p>
    <w:p>
      <w:pPr>
        <w:pStyle w:val="ListParagraph"/>
        <w:numPr>
          <w:ilvl w:val="0"/>
          <w:numId w:val="1"/>
        </w:numPr>
        <w:bidi/>
        <w:spacing w:after="70" w:line="295"/>
        <w:jc w:val="right"/>
        <w:rPr>
          <w:rFonts w:ascii="Arial" w:cs="Arial" w:eastAsia="Arial" w:hAnsi="Arial"/>
          <w:sz w:val="22"/>
          <w:szCs w:val="22"/>
        </w:rPr>
      </w:pPr>
      <w:r>
        <w:t xml:space="preserve">Twilio WhatsApp للإشعارات، وTelegram للتكاملات الإدارية أو استيراد المصادر وفق الإعدادات.</w:t>
      </w:r>
    </w:p>
    <w:p>
      <w:pPr>
        <w:pStyle w:val="ListParagraph"/>
        <w:numPr>
          <w:ilvl w:val="0"/>
          <w:numId w:val="1"/>
        </w:numPr>
        <w:bidi/>
        <w:spacing w:after="70" w:line="295"/>
        <w:jc w:val="right"/>
        <w:rPr>
          <w:rFonts w:ascii="Arial" w:cs="Arial" w:eastAsia="Arial" w:hAnsi="Arial"/>
          <w:sz w:val="22"/>
          <w:szCs w:val="22"/>
        </w:rPr>
      </w:pPr>
      <w:r>
        <w:t xml:space="preserve">SMTP للإشعارات البريدية واستعادة كلمات المرور.</w:t>
      </w:r>
    </w:p>
    <w:p>
      <w:pPr>
        <w:shd w:fill="FFF6DB"/>
        <w:bidi/>
        <w:spacing w:after="130" w:before="0" w:line="310"/>
        <w:jc w:val="right"/>
      </w:pPr>
      <w:r>
        <w:rPr>
          <w:rFonts w:ascii="Arial" w:cs="Arial" w:eastAsia="Arial" w:hAnsi="Arial"/>
          <w:b w:val="false"/>
          <w:bCs w:val="false"/>
          <w:i w:val="false"/>
          <w:iCs w:val="false"/>
          <w:color w:val="17212B"/>
          <w:sz w:val="23"/>
          <w:szCs w:val="23"/>
        </w:rPr>
        <w:t xml:space="preserve">تنبيه أمني: لا يحتوي هذا التقرير على أسماء مفاتيح أو قيم أسرار أو أرقام هواتف أو محتوى استشارات أو بيانات حسابات العملاء.</w:t>
      </w:r>
    </w:p>
    <w:p>
      <w:pPr>
        <w:pStyle w:val="Heading1"/>
        <w:bidi/>
        <w:spacing w:after="130" w:before="280"/>
        <w:jc w:val="right"/>
        <w:rPr>
          <w:rFonts w:ascii="Arial" w:cs="Arial" w:eastAsia="Arial" w:hAnsi="Arial"/>
          <w:b/>
          <w:bCs/>
          <w:color w:val="0D3C5A"/>
          <w:sz w:val="32"/>
          <w:szCs w:val="32"/>
        </w:rPr>
      </w:pPr>
      <w:r>
        <w:t xml:space="preserve">4. الوقائع التقنية محل المراجعة</w:t>
      </w:r>
    </w:p>
    <w:p>
      <w:pPr>
        <w:bidi/>
        <w:spacing w:after="130" w:before="0" w:line="310"/>
        <w:jc w:val="right"/>
      </w:pPr>
      <w:r>
        <w:rPr>
          <w:rFonts w:ascii="Arial" w:cs="Arial" w:eastAsia="Arial" w:hAnsi="Arial"/>
          <w:b w:val="false"/>
          <w:bCs w:val="false"/>
          <w:i/>
          <w:iCs/>
          <w:color w:val="17212B"/>
          <w:sz w:val="23"/>
          <w:szCs w:val="23"/>
        </w:rPr>
        <w:t xml:space="preserve">التوصيف أدناه يفرق بين ما لوحظ في سير العمل وما يحتاج إلى تحقق من سجلات Replit أو فواتير الخدمات قبل الجزم بقيمته المالية.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الواقعة</w:t>
            </w:r>
          </w:p>
        </w:tc>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ما تم رصده</w:t>
            </w:r>
          </w:p>
        </w:tc>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الأثر المحتمل</w:t>
            </w:r>
          </w:p>
        </w:tc>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الحالة الحالية</w:t>
            </w:r>
          </w:p>
        </w:tc>
      </w:tr>
      <w:tr>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معالجة دخول مدير النظام</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كانت الحاجة مرتبطة بحساب في بيئة الإنتاج، بينما جرى في البداية التعامل مع سياق التطوير قبل التحقق من المسار الصحيح؛ أدى ذلك إلى تأخر حل الدخول حتى تم استخدام تدفق الاستعادة الملائم للإنتاج.</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وقت تشغيلي ضائع، محاولات إضافية، وتأخر الوصول إلى الحساب الإداري.</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تمت استعادة الوصول عبر تدفق إعادة تعيين كلمة المرور. المطلوب: مراجعة سجل الوكيل وسجل البيئة لتحديد سبب الالتباس.</w:t>
            </w:r>
          </w:p>
        </w:tc>
      </w:tr>
      <w:tr>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تكرار بحث Tavily</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كان التصميم يشغّل بحثاً استباقياً عند إنشاء الاستشارة، ثم قد يشغّل بحثاً حياً إضافياً عند أول رسالة. في الحالات ذات التغطية الاستباقية الكافية يمكن أن يكرر ذلك الاستهلاك دون قيمة مكافئة.</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زيادة عدد طلبات Tavily وربما زيادة التكلفة المدفوعة لكل استشارة.</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تمت إضافة قاعدة تتجنب البحث الحي إذا كانت النتائج الاستباقية كافية ومرتبطة برسالة المستخدم، مع تسجيل درجة الصلة. المطلوب: مراجعة حجم الطلبات قبل الإصلاح.</w:t>
            </w:r>
          </w:p>
        </w:tc>
      </w:tr>
      <w:tr>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قيود تعديل قاعدة بيانات الإنتاج</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عند معالجة حالة طارئة، ظهر عملياً أن الوصول المتاح لقاعدة الإنتاج عبر أداة الوكيل لا ينفذ أوامر التعديل المباشر كما ينفذ القراءة.</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الاضطرار إلى إنشاء مسارات بديلة داخل التطبيق، وزيادة زمن حل الحوادث.</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المطلوب: تأكيد رسمي للسياسة والقيود، وطريقة واضحة لعرضها قبل تنفيذ العملية أو اختيار بيئة الهدف.</w:t>
            </w:r>
          </w:p>
        </w:tc>
      </w:tr>
    </w:tbl>
    <w:p>
      <w:pPr>
        <w:pStyle w:val="Heading2"/>
        <w:bidi/>
        <w:spacing w:after="130" w:before="180"/>
        <w:jc w:val="right"/>
        <w:rPr>
          <w:rFonts w:ascii="Arial" w:cs="Arial" w:eastAsia="Arial" w:hAnsi="Arial"/>
          <w:b/>
          <w:bCs/>
          <w:color w:val="0D3C5A"/>
          <w:sz w:val="27"/>
          <w:szCs w:val="27"/>
        </w:rPr>
      </w:pPr>
      <w:r>
        <w:t xml:space="preserve">تفصيل واقعة تكرار البحث المدفوع</w:t>
      </w:r>
    </w:p>
    <w:p>
      <w:pPr>
        <w:bidi/>
        <w:spacing w:after="130" w:before="0" w:line="310"/>
        <w:jc w:val="right"/>
      </w:pPr>
      <w:r>
        <w:rPr>
          <w:rFonts w:ascii="Arial" w:cs="Arial" w:eastAsia="Arial" w:hAnsi="Arial"/>
          <w:b w:val="false"/>
          <w:bCs w:val="false"/>
          <w:i w:val="false"/>
          <w:iCs w:val="false"/>
          <w:color w:val="17212B"/>
          <w:sz w:val="23"/>
          <w:szCs w:val="23"/>
        </w:rPr>
        <w:t xml:space="preserve">يُبنى الاستعلام الاستباقي من نوع الخدمة ومعطيات الاستشارة قبل كتابة المستخدم لأول رسالة. لكن أول رسالة قد تتناول جزئية مختلفة أو أكثر تحديداً. لذلك كان تجنب البحث الحي بمجرد وجود عدد من النتائج الاستباقية يحمل مخاطرة جودة، كما أن تشغيل البحثين معاً يرفع الاستهلاك. عولج ذلك بإضافة فحص صلة مبسط: يستخرج كلمات دلالية من رسالة المستخدم الأولى ويقارنها بعنوان ومقتطف النتائج الاستباقية؛ وإذا انخفضت التغطية عن حد أدنى، يُسمح بالبحث الحي بدلاً من الاعتماد على نتائج غير مرتبطة.</w:t>
      </w:r>
    </w:p>
    <w:p>
      <w:pPr>
        <w:shd w:fill="EAF5FA"/>
        <w:bidi/>
        <w:spacing w:after="130" w:before="0" w:line="310"/>
        <w:jc w:val="right"/>
      </w:pPr>
      <w:r>
        <w:rPr>
          <w:rFonts w:ascii="Arial" w:cs="Arial" w:eastAsia="Arial" w:hAnsi="Arial"/>
          <w:b w:val="false"/>
          <w:bCs w:val="false"/>
          <w:i w:val="false"/>
          <w:iCs w:val="false"/>
          <w:color w:val="17212B"/>
          <w:sz w:val="23"/>
          <w:szCs w:val="23"/>
        </w:rPr>
        <w:t xml:space="preserve">قابلية التحقق: يمكن لفريق الدعم مقارنة طلبات Tavily أو سجل الاستدعاءات خلال فترة قبل الإصلاح وبعده، ثم حساب عدد الاستدعاءات لكل استشارة/رسالة أولى.</w:t>
      </w:r>
    </w:p>
    <w:p>
      <w:pPr>
        <w:pStyle w:val="Heading1"/>
        <w:bidi/>
        <w:spacing w:after="130" w:before="280"/>
        <w:jc w:val="right"/>
        <w:rPr>
          <w:rFonts w:ascii="Arial" w:cs="Arial" w:eastAsia="Arial" w:hAnsi="Arial"/>
          <w:b/>
          <w:bCs/>
          <w:color w:val="0D3C5A"/>
          <w:sz w:val="32"/>
          <w:szCs w:val="32"/>
        </w:rPr>
      </w:pPr>
      <w:r>
        <w:t xml:space="preserve">5. الأثر المالي والوقت المستنزف</w:t>
      </w:r>
    </w:p>
    <w:p>
      <w:pPr>
        <w:shd w:fill="FFF6DB"/>
        <w:bidi/>
        <w:spacing w:after="130" w:before="0" w:line="310"/>
        <w:jc w:val="right"/>
      </w:pPr>
      <w:r>
        <w:rPr>
          <w:rFonts w:ascii="Arial" w:cs="Arial" w:eastAsia="Arial" w:hAnsi="Arial"/>
          <w:b/>
          <w:bCs/>
          <w:i w:val="false"/>
          <w:iCs w:val="false"/>
          <w:color w:val="17212B"/>
          <w:sz w:val="23"/>
          <w:szCs w:val="23"/>
        </w:rPr>
        <w:t xml:space="preserve">لا يقدّم هذا التقرير رقماً مالياً غير موثق. يلزم إرفاق المستندات أدناه حتى تتحول الملاحظات إلى مطالبة قابلة للتحقق.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بند الأثر</w:t>
            </w:r>
          </w:p>
        </w:tc>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آلية الحساب المقترحة</w:t>
            </w:r>
          </w:p>
        </w:tc>
        <w:tc>
          <w:tcPr>
            <w:tcBorders>
              <w:top w:val="single" w:color="CDD8DF" w:sz="3"/>
              <w:left w:val="single" w:color="CDD8DF" w:sz="3"/>
              <w:bottom w:val="single" w:color="CDD8DF" w:sz="3"/>
              <w:right w:val="single" w:color="CDD8DF" w:sz="3"/>
            </w:tcBorders>
            <w:shd w:fill="0D3C5A"/>
            <w:tcMar>
              <w:top w:type="dxa" w:w="100"/>
              <w:left w:type="dxa" w:w="120"/>
              <w:bottom w:type="dxa" w:w="100"/>
              <w:right w:type="dxa" w:w="120"/>
            </w:tcMar>
            <w:vAlign w:val="top"/>
          </w:tcPr>
          <w:p>
            <w:pPr>
              <w:bidi/>
              <w:spacing w:after="0" w:before="0" w:line="310"/>
              <w:jc w:val="right"/>
            </w:pPr>
            <w:r>
              <w:rPr>
                <w:rFonts w:ascii="Arial" w:cs="Arial" w:eastAsia="Arial" w:hAnsi="Arial"/>
                <w:b/>
                <w:bCs/>
                <w:i w:val="false"/>
                <w:iCs w:val="false"/>
                <w:color w:val="FFFFFF"/>
                <w:sz w:val="18"/>
                <w:szCs w:val="18"/>
              </w:rPr>
              <w:t xml:space="preserve">الدليل المطلوب</w:t>
            </w:r>
          </w:p>
        </w:tc>
      </w:tr>
      <w:tr>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استهلاك Tavily الزائد</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عدد طلبات البحث الإضافية أو المكررة × سعر الطلب/الرصيد خلال الفترة المتأثرة.</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فواتير Tavily، سجل الاستخدام، أو تصدير الاستدعاءات بالتاريخ والمعرف.</w:t>
            </w:r>
          </w:p>
        </w:tc>
      </w:tr>
      <w:tr>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رصيد/استهلاك Replit Agent</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الوقت أو الرصيد المستهلك في محاولات المعالجة وإعادة المحاولة التي نتجت عن الخطأ أو الالتباس.</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فواتير Replit، صفحة الاستخدام، سجل المحادثة مع Agent، وتواريخ الحادثة.</w:t>
            </w:r>
          </w:p>
        </w:tc>
      </w:tr>
      <w:tr>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الوقت التشغيلي</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ساعات صاحب المشروع أو فريقه لإصلاح الدخول، التحقق من البيئة، ومراجعة السجلات.</w:t>
            </w:r>
          </w:p>
        </w:tc>
        <w:tc>
          <w:tcPr>
            <w:tcBorders>
              <w:top w:val="single" w:color="CDD8DF" w:sz="3"/>
              <w:left w:val="single" w:color="CDD8DF" w:sz="3"/>
              <w:bottom w:val="single" w:color="CDD8DF" w:sz="3"/>
              <w:right w:val="single" w:color="CDD8DF" w:sz="3"/>
            </w:tcBorders>
            <w:shd w:fill="FFFFFF"/>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جدول زمني مختصر: بداية المشكلة، محاولات الحل، وقت الاستعادة، والأعمال المؤجلة.</w:t>
            </w:r>
          </w:p>
        </w:tc>
      </w:tr>
      <w:tr>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أثر توقف الخدمة إن وجد</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طلبات أو اشتراكات أو فرص لم تكتمل خلال مدة العطل، بعد استبعاد أي افتراض غير مثبت.</w:t>
            </w:r>
          </w:p>
        </w:tc>
        <w:tc>
          <w:tcPr>
            <w:tcBorders>
              <w:top w:val="single" w:color="CDD8DF" w:sz="3"/>
              <w:left w:val="single" w:color="CDD8DF" w:sz="3"/>
              <w:bottom w:val="single" w:color="CDD8DF" w:sz="3"/>
              <w:right w:val="single" w:color="CDD8DF" w:sz="3"/>
            </w:tcBorders>
            <w:shd w:fill="F7FAFB"/>
            <w:tcMar>
              <w:top w:type="dxa" w:w="100"/>
              <w:left w:type="dxa" w:w="120"/>
              <w:bottom w:type="dxa" w:w="100"/>
              <w:right w:type="dxa" w:w="120"/>
            </w:tcMar>
            <w:vAlign w:val="top"/>
          </w:tcPr>
          <w:p>
            <w:pPr>
              <w:bidi/>
              <w:spacing w:after="0" w:before="0" w:line="310"/>
              <w:jc w:val="right"/>
            </w:pPr>
            <w:r>
              <w:rPr>
                <w:rFonts w:ascii="Arial" w:cs="Arial" w:eastAsia="Arial" w:hAnsi="Arial"/>
                <w:b w:val="false"/>
                <w:bCs w:val="false"/>
                <w:i w:val="false"/>
                <w:iCs w:val="false"/>
                <w:color w:val="17212B"/>
                <w:sz w:val="19"/>
                <w:szCs w:val="19"/>
              </w:rPr>
              <w:t xml:space="preserve">سجلات أخطاء، تحليلات زيارات، تذاكر دعم، وإيصالات مدفوعات ذات صلة.</w:t>
            </w:r>
          </w:p>
        </w:tc>
      </w:tr>
    </w:tbl>
    <w:p>
      <w:pPr>
        <w:shd w:fill="EAF5FA"/>
        <w:bidi/>
        <w:spacing w:after="130" w:before="0" w:line="310"/>
        <w:jc w:val="right"/>
      </w:pPr>
      <w:r>
        <w:rPr>
          <w:rFonts w:ascii="Arial" w:cs="Arial" w:eastAsia="Arial" w:hAnsi="Arial"/>
          <w:b w:val="false"/>
          <w:bCs w:val="false"/>
          <w:i w:val="false"/>
          <w:iCs w:val="false"/>
          <w:color w:val="17212B"/>
          <w:sz w:val="23"/>
          <w:szCs w:val="23"/>
        </w:rPr>
        <w:t xml:space="preserve">صياغة شفافة للمطالبة: «نطلب مراجعة السجلات والفوترة للفترة الموضحة في المرفقات. لا نزعم مبلغاً محدداً قبل أن تؤكده سجلات الاستهلاك، لكننا نطلب احتساب أي استهلاك زائد نتج مباشرة عن السلوك الموثق، والنظر في تعويض أو رصيد مناسب بعد المراجعة.»</w:t>
      </w:r>
    </w:p>
    <w:p>
      <w:pPr>
        <w:pStyle w:val="Heading1"/>
        <w:bidi/>
        <w:spacing w:after="130" w:before="280"/>
        <w:jc w:val="right"/>
        <w:rPr>
          <w:rFonts w:ascii="Arial" w:cs="Arial" w:eastAsia="Arial" w:hAnsi="Arial"/>
          <w:b/>
          <w:bCs/>
          <w:color w:val="0D3C5A"/>
          <w:sz w:val="32"/>
          <w:szCs w:val="32"/>
        </w:rPr>
      </w:pPr>
      <w:r>
        <w:t xml:space="preserve">6. الإصلاحات والاحتياطات التي اتخذت داخل المشروع</w:t>
      </w:r>
    </w:p>
    <w:p>
      <w:pPr>
        <w:pStyle w:val="ListParagraph"/>
        <w:numPr>
          <w:ilvl w:val="0"/>
          <w:numId w:val="1"/>
        </w:numPr>
        <w:bidi/>
        <w:spacing w:after="70" w:line="295"/>
        <w:jc w:val="right"/>
        <w:rPr>
          <w:rFonts w:ascii="Arial" w:cs="Arial" w:eastAsia="Arial" w:hAnsi="Arial"/>
          <w:sz w:val="22"/>
          <w:szCs w:val="22"/>
        </w:rPr>
      </w:pPr>
      <w:r>
        <w:t xml:space="preserve">الاعتماد على تدفق آمن داخل التطبيق لاستعادة كلمة المرور بدلاً من تعديل كلمة المرور مباشرة في قاعدة الإنتاج.</w:t>
      </w:r>
    </w:p>
    <w:p>
      <w:pPr>
        <w:pStyle w:val="ListParagraph"/>
        <w:numPr>
          <w:ilvl w:val="0"/>
          <w:numId w:val="1"/>
        </w:numPr>
        <w:bidi/>
        <w:spacing w:after="70" w:line="295"/>
        <w:jc w:val="right"/>
        <w:rPr>
          <w:rFonts w:ascii="Arial" w:cs="Arial" w:eastAsia="Arial" w:hAnsi="Arial"/>
          <w:sz w:val="22"/>
          <w:szCs w:val="22"/>
        </w:rPr>
      </w:pPr>
      <w:r>
        <w:t xml:space="preserve">تجنب تشغيل البحث الحي في أول رسالة عند وجود نتائج استباقية كافية ومرتبطة بمحتوى رسالة المستخدم.</w:t>
      </w:r>
    </w:p>
    <w:p>
      <w:pPr>
        <w:pStyle w:val="ListParagraph"/>
        <w:numPr>
          <w:ilvl w:val="0"/>
          <w:numId w:val="1"/>
        </w:numPr>
        <w:bidi/>
        <w:spacing w:after="70" w:line="295"/>
        <w:jc w:val="right"/>
        <w:rPr>
          <w:rFonts w:ascii="Arial" w:cs="Arial" w:eastAsia="Arial" w:hAnsi="Arial"/>
          <w:sz w:val="22"/>
          <w:szCs w:val="22"/>
        </w:rPr>
      </w:pPr>
      <w:r>
        <w:t xml:space="preserve">إضافة سجل تشغيلي منظم لقرار تخطي البحث ودرجة الصلة، لتسهيل المراقبة والتحقيق لاحقاً.</w:t>
      </w:r>
    </w:p>
    <w:p>
      <w:pPr>
        <w:pStyle w:val="ListParagraph"/>
        <w:numPr>
          <w:ilvl w:val="0"/>
          <w:numId w:val="1"/>
        </w:numPr>
        <w:bidi/>
        <w:spacing w:after="70" w:line="295"/>
        <w:jc w:val="right"/>
        <w:rPr>
          <w:rFonts w:ascii="Arial" w:cs="Arial" w:eastAsia="Arial" w:hAnsi="Arial"/>
          <w:sz w:val="22"/>
          <w:szCs w:val="22"/>
        </w:rPr>
      </w:pPr>
      <w:r>
        <w:t xml:space="preserve">مراجعة نص المستند المستخرج في واجهة قابلة للتحرير قبل بدء التحليل، لتقليل إهدار حصة التحليل على ملفات OCR غير الدقيقة.</w:t>
      </w:r>
    </w:p>
    <w:p>
      <w:pPr>
        <w:pStyle w:val="ListParagraph"/>
        <w:numPr>
          <w:ilvl w:val="0"/>
          <w:numId w:val="1"/>
        </w:numPr>
        <w:bidi/>
        <w:spacing w:after="70" w:line="295"/>
        <w:jc w:val="right"/>
        <w:rPr>
          <w:rFonts w:ascii="Arial" w:cs="Arial" w:eastAsia="Arial" w:hAnsi="Arial"/>
          <w:sz w:val="22"/>
          <w:szCs w:val="22"/>
        </w:rPr>
      </w:pPr>
      <w:r>
        <w:t xml:space="preserve">ربط استهلاك الخدمة بنجاح تنفيذها، وعدم خصم الحصة قبل وصول استجابة تحليل ناجحة.</w:t>
      </w:r>
    </w:p>
    <w:p>
      <w:pPr>
        <w:pStyle w:val="ListParagraph"/>
        <w:numPr>
          <w:ilvl w:val="0"/>
          <w:numId w:val="1"/>
        </w:numPr>
        <w:bidi/>
        <w:spacing w:after="70" w:line="295"/>
        <w:jc w:val="right"/>
        <w:rPr>
          <w:rFonts w:ascii="Arial" w:cs="Arial" w:eastAsia="Arial" w:hAnsi="Arial"/>
          <w:sz w:val="22"/>
          <w:szCs w:val="22"/>
        </w:rPr>
      </w:pPr>
      <w:r>
        <w:t xml:space="preserve">تطبيق حواجز للتحقق من المصادر القانونية وتجنب الاستشهاد غير الموثق.</w:t>
      </w:r>
    </w:p>
    <w:p>
      <w:pPr>
        <w:bidi/>
        <w:spacing w:after="130" w:before="0" w:line="310"/>
        <w:jc w:val="right"/>
      </w:pPr>
      <w:r>
        <w:rPr>
          <w:rFonts w:ascii="Arial" w:cs="Arial" w:eastAsia="Arial" w:hAnsi="Arial"/>
          <w:b w:val="false"/>
          <w:bCs w:val="false"/>
          <w:i w:val="false"/>
          <w:iCs w:val="false"/>
          <w:color w:val="17212B"/>
          <w:sz w:val="23"/>
          <w:szCs w:val="23"/>
        </w:rPr>
        <w:t xml:space="preserve">هذه الإصلاحات تقلل المخاطر المستقبلية، لكنها لا تغني عن مراجعة Replit لسجل الاستهلاك والسلوك التاريخي خلال الفترة المتأثرة.</w:t>
      </w:r>
    </w:p>
    <w:p>
      <w:pPr>
        <w:pStyle w:val="Heading1"/>
        <w:bidi/>
        <w:spacing w:after="130" w:before="280"/>
        <w:jc w:val="right"/>
        <w:rPr>
          <w:rFonts w:ascii="Arial" w:cs="Arial" w:eastAsia="Arial" w:hAnsi="Arial"/>
          <w:b/>
          <w:bCs/>
          <w:color w:val="0D3C5A"/>
          <w:sz w:val="32"/>
          <w:szCs w:val="32"/>
        </w:rPr>
      </w:pPr>
      <w:r>
        <w:t xml:space="preserve">7. قائمة المرفقات الواجب إرسالها مع البلاغ</w:t>
      </w:r>
    </w:p>
    <w:p>
      <w:pPr>
        <w:bidi/>
        <w:spacing w:after="80" w:line="295"/>
        <w:jc w:val="right"/>
        <w:rPr>
          <w:rFonts w:ascii="Arial" w:cs="Arial" w:eastAsia="Arial" w:hAnsi="Arial"/>
          <w:sz w:val="22"/>
          <w:szCs w:val="22"/>
        </w:rPr>
      </w:pPr>
      <w:r>
        <w:t xml:space="preserve">1. رابط مشروع Replit أو اسم الـ workspace، والبريد المرتبط بالحساب.</w:t>
      </w:r>
    </w:p>
    <w:p>
      <w:pPr>
        <w:bidi/>
        <w:spacing w:after="80" w:line="295"/>
        <w:jc w:val="right"/>
        <w:rPr>
          <w:rFonts w:ascii="Arial" w:cs="Arial" w:eastAsia="Arial" w:hAnsi="Arial"/>
          <w:sz w:val="22"/>
          <w:szCs w:val="22"/>
        </w:rPr>
      </w:pPr>
      <w:r>
        <w:t xml:space="preserve">2. نسخة Word أو PDF من هذا التقرير.</w:t>
      </w:r>
    </w:p>
    <w:p>
      <w:pPr>
        <w:bidi/>
        <w:spacing w:after="80" w:line="295"/>
        <w:jc w:val="right"/>
        <w:rPr>
          <w:rFonts w:ascii="Arial" w:cs="Arial" w:eastAsia="Arial" w:hAnsi="Arial"/>
          <w:sz w:val="22"/>
          <w:szCs w:val="22"/>
        </w:rPr>
      </w:pPr>
      <w:r>
        <w:t xml:space="preserve">3. لقطات أو تصدير من صفحة فواتير Replit للفترة المتأثرة.</w:t>
      </w:r>
    </w:p>
    <w:p>
      <w:pPr>
        <w:bidi/>
        <w:spacing w:after="80" w:line="295"/>
        <w:jc w:val="right"/>
        <w:rPr>
          <w:rFonts w:ascii="Arial" w:cs="Arial" w:eastAsia="Arial" w:hAnsi="Arial"/>
          <w:sz w:val="22"/>
          <w:szCs w:val="22"/>
        </w:rPr>
      </w:pPr>
      <w:r>
        <w:t xml:space="preserve">4. فواتير أو صفحة استخدام Tavily للفترة ذاتها، إن كانت متاحة.</w:t>
      </w:r>
    </w:p>
    <w:p>
      <w:pPr>
        <w:bidi/>
        <w:spacing w:after="80" w:line="295"/>
        <w:jc w:val="right"/>
        <w:rPr>
          <w:rFonts w:ascii="Arial" w:cs="Arial" w:eastAsia="Arial" w:hAnsi="Arial"/>
          <w:sz w:val="22"/>
          <w:szCs w:val="22"/>
        </w:rPr>
      </w:pPr>
      <w:r>
        <w:t xml:space="preserve">5. لقطات أو رابط إلى المحادثة التي تضمنت طلب معالجة كلمة المرور، مع إخفاء أي بيانات شخصية أو رموز.</w:t>
      </w:r>
    </w:p>
    <w:p>
      <w:pPr>
        <w:bidi/>
        <w:spacing w:after="80" w:line="295"/>
        <w:jc w:val="right"/>
        <w:rPr>
          <w:rFonts w:ascii="Arial" w:cs="Arial" w:eastAsia="Arial" w:hAnsi="Arial"/>
          <w:sz w:val="22"/>
          <w:szCs w:val="22"/>
        </w:rPr>
      </w:pPr>
      <w:r>
        <w:t xml:space="preserve">6. جدول زمني مختصر بالوقت المحلي: متى بدأ العطل، متى تم اكتشاف اختلاف البيئة، ومتى عادت الخدمة.</w:t>
      </w:r>
    </w:p>
    <w:p>
      <w:pPr>
        <w:bidi/>
        <w:spacing w:after="80" w:line="295"/>
        <w:jc w:val="right"/>
        <w:rPr>
          <w:rFonts w:ascii="Arial" w:cs="Arial" w:eastAsia="Arial" w:hAnsi="Arial"/>
          <w:sz w:val="22"/>
          <w:szCs w:val="22"/>
        </w:rPr>
      </w:pPr>
      <w:r>
        <w:t xml:space="preserve">7. أي سجلات طلبات أو أخطاء تؤكد تكرار البحث أو فشل العملية.</w:t>
      </w:r>
    </w:p>
    <w:p>
      <w:pPr>
        <w:bidi/>
        <w:spacing w:after="80" w:line="295"/>
        <w:jc w:val="right"/>
        <w:rPr>
          <w:rFonts w:ascii="Arial" w:cs="Arial" w:eastAsia="Arial" w:hAnsi="Arial"/>
          <w:sz w:val="22"/>
          <w:szCs w:val="22"/>
        </w:rPr>
      </w:pPr>
      <w:r>
        <w:t xml:space="preserve">8. قيمة المطالبة أو طلب المراجعة مفتوح القيمة، مع توضيح طريقة الاحتساب.</w:t>
      </w:r>
    </w:p>
    <w:p>
      <w:pPr>
        <w:pStyle w:val="Heading1"/>
        <w:bidi/>
        <w:spacing w:after="130" w:before="280"/>
        <w:jc w:val="right"/>
        <w:rPr>
          <w:rFonts w:ascii="Arial" w:cs="Arial" w:eastAsia="Arial" w:hAnsi="Arial"/>
          <w:b/>
          <w:bCs/>
          <w:color w:val="0D3C5A"/>
          <w:sz w:val="32"/>
          <w:szCs w:val="32"/>
        </w:rPr>
      </w:pPr>
      <w:r>
        <w:t xml:space="preserve">8. نص مختصر جاهز للتذكرة</w:t>
      </w:r>
    </w:p>
    <w:p>
      <w:pPr>
        <w:shd w:fill="EAF5FA"/>
        <w:bidi/>
        <w:spacing w:after="130" w:before="0" w:line="310"/>
        <w:jc w:val="right"/>
      </w:pPr>
      <w:r>
        <w:rPr>
          <w:rFonts w:ascii="Arial" w:cs="Arial" w:eastAsia="Arial" w:hAnsi="Arial"/>
          <w:b/>
          <w:bCs/>
          <w:i w:val="false"/>
          <w:iCs w:val="false"/>
          <w:color w:val="17212B"/>
          <w:sz w:val="23"/>
          <w:szCs w:val="23"/>
        </w:rPr>
        <w:t xml:space="preserve">العنوان: Request for review: Agent-related production handling and potentially duplicated paid searches</w:t>
      </w:r>
    </w:p>
    <w:p>
      <w:pPr>
        <w:bidi/>
        <w:spacing w:after="130" w:before="0" w:line="310"/>
        <w:jc w:val="right"/>
      </w:pPr>
      <w:r>
        <w:rPr>
          <w:rFonts w:ascii="Arial" w:cs="Arial" w:eastAsia="Arial" w:hAnsi="Arial"/>
          <w:b w:val="false"/>
          <w:bCs w:val="false"/>
          <w:i w:val="false"/>
          <w:iCs w:val="false"/>
          <w:color w:val="17212B"/>
          <w:sz w:val="23"/>
          <w:szCs w:val="23"/>
        </w:rPr>
        <w:t xml:space="preserve">أرفقنا تقريراً تعريفياً وفنياً لمشروع RABAB LEGAL AI. نطلب مراجعة سجل Agent وسجل الاستخدام خلال الفترة [ضعي الفترة] للتحقق من: (1) التعامل الأولي مع سياق تطوير بينما كانت الحاجة مرتبطة بالإنتاج عند استعادة دخول حساب إداري، (2) الاستهلاك الناتج عن تشغيل بحث استباقي ثم بحث حي في أول رسالة من الاستشارة، و(3) وضوح قيود التعديل على بيانات الإنتاج من خلال أدوات الوكيل. لا نطلب اعتماد مبلغ غير موثق؛ أرفقنا/سنرفق الفواتير وسجلات الاستخدام لتحديد أي استهلاك زائد. نرجو تزويدنا بتفسير للسجل والسياسة، والنظر في رصيد أو تعويض مناسب إذا ثبتت العلاقة.</w:t>
      </w:r>
    </w:p>
    <w:p>
      <w:pPr>
        <w:pStyle w:val="Heading1"/>
        <w:bidi/>
        <w:spacing w:after="130" w:before="280"/>
        <w:jc w:val="right"/>
        <w:rPr>
          <w:rFonts w:ascii="Arial" w:cs="Arial" w:eastAsia="Arial" w:hAnsi="Arial"/>
          <w:b/>
          <w:bCs/>
          <w:color w:val="0D3C5A"/>
          <w:sz w:val="32"/>
          <w:szCs w:val="32"/>
        </w:rPr>
      </w:pPr>
      <w:r>
        <w:t xml:space="preserve">9. English support summary</w:t>
      </w:r>
    </w:p>
    <w:p>
      <w:pPr>
        <w:bidi w:val="false"/>
        <w:spacing w:after="120" w:line="300"/>
        <w:jc w:val="left"/>
      </w:pPr>
      <w:r>
        <w:rPr>
          <w:rFonts w:ascii="Arial" w:cs="Arial" w:eastAsia="Arial" w:hAnsi="Arial"/>
          <w:sz w:val="22"/>
          <w:szCs w:val="22"/>
        </w:rPr>
        <w:t xml:space="preserve">Project: RABAB LEGAL AI, an Arabic legal research, consultation, and contract-analysis platform built on Replit.</w:t>
      </w:r>
    </w:p>
    <w:p>
      <w:pPr>
        <w:bidi w:val="false"/>
        <w:spacing w:after="120" w:line="300"/>
        <w:jc w:val="left"/>
      </w:pPr>
      <w:r>
        <w:rPr>
          <w:rFonts w:ascii="Arial" w:cs="Arial" w:eastAsia="Arial" w:hAnsi="Arial"/>
          <w:sz w:val="22"/>
          <w:szCs w:val="22"/>
        </w:rPr>
        <w:t xml:space="preserve">Request: Please review the Agent and usage logs for the affected period. We are asking Replit to verify three operational issues: (1) initial work in a development context while the urgent password-recovery need concerned production, (2) potentially duplicated paid Tavily searches caused by proactive search followed by a live first-message search, and (3) the clarity and documented limitations of production database write access through Agent tools.</w:t>
      </w:r>
    </w:p>
    <w:p>
      <w:pPr>
        <w:bidi w:val="false"/>
        <w:spacing w:after="120" w:line="300"/>
        <w:jc w:val="left"/>
      </w:pPr>
      <w:r>
        <w:rPr>
          <w:rFonts w:ascii="Arial" w:cs="Arial" w:eastAsia="Arial" w:hAnsi="Arial"/>
          <w:sz w:val="22"/>
          <w:szCs w:val="22"/>
        </w:rPr>
        <w:t xml:space="preserve">Financial position: We are not asserting an unverified amount. We will provide Replit and Tavily invoices, usage exports, timestamps, and the relevant Agent conversation so the excess usage, if any, can be independently calculated.</w:t>
      </w:r>
    </w:p>
    <w:p>
      <w:pPr>
        <w:bidi w:val="false"/>
        <w:spacing w:after="120" w:line="300"/>
        <w:jc w:val="left"/>
      </w:pPr>
      <w:r>
        <w:rPr>
          <w:rFonts w:ascii="Arial" w:cs="Arial" w:eastAsia="Arial" w:hAnsi="Arial"/>
          <w:sz w:val="22"/>
          <w:szCs w:val="22"/>
        </w:rPr>
        <w:t xml:space="preserve">Requested resolution: A written explanation of the relevant logs and platform limits, recommendations for avoiding environment mistakes and redundant spend, and consideration of an appropriate credit or compensation if the documented excess usage is attributable to Agent behavior or insufficiently visible limitations.</w:t>
      </w:r>
    </w:p>
    <w:p>
      <w:pPr>
        <w:bidi/>
        <w:spacing w:after="130" w:before="250" w:line="310"/>
        <w:jc w:val="right"/>
      </w:pPr>
      <w:r>
        <w:rPr>
          <w:rFonts w:ascii="Arial" w:cs="Arial" w:eastAsia="Arial" w:hAnsi="Arial"/>
          <w:b w:val="false"/>
          <w:bCs w:val="false"/>
          <w:i w:val="false"/>
          <w:iCs w:val="false"/>
          <w:color w:val="67737B"/>
          <w:sz w:val="17"/>
          <w:szCs w:val="17"/>
        </w:rPr>
        <w:t xml:space="preserve">أُعدت هذه الوثيقة من معلومات المشروع وسجل العمل المتاحين حتى 20 أغسطس 2026. لا تمثل إقراراً بمسؤولية أي طرف، ولا تتضمن أسراراً أو بيانات عملاء. راجعي حقول الاستكمال والمرفقات قبل الإرسال.</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RABAB LEGAL AI — ملف المشروع وتقرير الوقائع التقنية</dc:title>
  <dc:creator>RABAB LEGAL AI</dc:creator>
  <cp:lastModifiedBy>Un-named</cp:lastModifiedBy>
  <cp:revision>1</cp:revision>
  <dcterms:created xsi:type="dcterms:W3CDTF">2026-08-20T02:32:13.354Z</dcterms:created>
  <dcterms:modified xsi:type="dcterms:W3CDTF">2026-08-20T02:32:13.355Z</dcterms:modified>
</cp:coreProperties>
</file>

<file path=docProps/custom.xml><?xml version="1.0" encoding="utf-8"?>
<Properties xmlns="http://schemas.openxmlformats.org/officeDocument/2006/custom-properties" xmlns:vt="http://schemas.openxmlformats.org/officeDocument/2006/docPropsVTypes"/>
</file>