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0e0e1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ALS Tool For </w:t>
      </w:r>
      <w:r w:rsidDel="00000000" w:rsidR="00000000" w:rsidRPr="00000000">
        <w:rPr>
          <w:rFonts w:ascii="Georgia" w:cs="Georgia" w:eastAsia="Georgia" w:hAnsi="Georgia"/>
          <w:b w:val="1"/>
          <w:color w:val="0e0e11"/>
          <w:sz w:val="24"/>
          <w:szCs w:val="24"/>
          <w:u w:val="single"/>
          <w:rtl w:val="0"/>
        </w:rPr>
        <w:t xml:space="preserve">Data Collection and Caregiving Assistant AI Agent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Problem Statement : To </w:t>
      </w: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Develop an AI agent linked to the Open Minded Individuals (OMI) protocol or the Reclaim protocol that assists in collecting patient data and supports caregiving for individuals with Parkinson's disease &amp; Amyotrophic Lateral Sclerosis (ALS). The agent should streamline data collection processes and provide actionable insights to caregivers for improved patient care onchain.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Key Features Include: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62626"/>
          <w:sz w:val="21"/>
          <w:szCs w:val="21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u w:val="single"/>
          <w:rtl w:val="0"/>
        </w:rPr>
        <w:t xml:space="preserve">Data Collection Integration: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Implement connections to the OMI &amp; Reclaim protocols to securely and efficiently collect health data from ALS patients.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Ensure data is collected in a way that respects patient privacy and adheres to regulatory standards.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Use collected data to create comprehensive patient profiles that update in real-time as new data becomes available.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62626"/>
          <w:sz w:val="21"/>
          <w:szCs w:val="21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u w:val="single"/>
          <w:rtl w:val="0"/>
        </w:rPr>
        <w:t xml:space="preserve">Caregiving Assistance: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Provide caregivers with tailored advice based on the collected data, including daily care tips, symptom management strategies, and emergency procedures.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Implement alerts and notifications for caregivers about significant changes in patient conditions that require immediate attention.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62626"/>
          <w:sz w:val="21"/>
          <w:szCs w:val="21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u w:val="single"/>
          <w:rtl w:val="0"/>
        </w:rPr>
        <w:t xml:space="preserve">Analytical Dashboard: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Develop a dashboard that displays real-time data and analytics, helping caregivers and medical professionals to monitor patient health trends and respond accordingly.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Include features like data visualization tools and customizable reports to make the data accessible and useful.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262626"/>
          <w:sz w:val="21"/>
          <w:szCs w:val="21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u w:val="single"/>
          <w:rtl w:val="0"/>
        </w:rPr>
        <w:t xml:space="preserve">Research Contribution: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Allow for anonymized data to be used for ALS research purposes, contributing to the broader understanding and development of ALS treatments.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Facilitate partnerships with research institutions to ensure data utility and relevancy.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262626"/>
          <w:sz w:val="21"/>
          <w:szCs w:val="21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u w:val="single"/>
          <w:rtl w:val="0"/>
        </w:rPr>
        <w:t xml:space="preserve">User Experience and Accessibility: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Design the agent to be user-friendly for both technical and non-technical caregivers.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Ensure full accessibility compliant with the best practices, making the tool usable for all caregivers, regardless of their physical abilities.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262626"/>
          <w:sz w:val="21"/>
          <w:szCs w:val="21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u w:val="single"/>
          <w:rtl w:val="0"/>
        </w:rPr>
        <w:t xml:space="preserve">Success Criteria: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Effective integration with OMI &amp;  Reclaim protocols, demonstrated by seamless data flow and security.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Positive feedback from caregivers on the utility of the caregiving advice and the usability of the dashboard.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Measurable improvement in caregiving efficiency and patient comfort reported within the first year of implementation.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62626"/>
          <w:sz w:val="21"/>
          <w:szCs w:val="21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u w:val="single"/>
          <w:rtl w:val="0"/>
        </w:rPr>
        <w:t xml:space="preserve">Considering the Inputs For Patient assessment form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Patient Demographics &amp; Medical History 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Name, Age, Gender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Diagnosis Date &amp; Stage (Hoehn &amp; Yahr Scale for PD, ALS Functional Rating Scale (ALSFRS-R))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Medical History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- (Comorbidities, previous hospitalizations, allergies)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Current Medications &amp; Dosages (Levodopa, Riluzole, Edaravone, etc.)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Family History of Neurodegenerative Diseases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Caregiver Information (Primary caregiver, emergency contact)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Motor &amp; Physical Function Data 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Gait &amp; Balance Metrics (Stride length, step count, fall frequency)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Tremor Intensity &amp; Frequency (PD-specific, collected via wearables)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Muscle Weakness &amp; Atrophy (ALS-specific, grip strength, mobility tests)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Dyskinesia/Dystonia Incidents (Uncontrolled movements, cramping)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Handwriting &amp; Fine Motor Skills (For early PD monitoring)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Assistive Device Usage (Walker, wheelchair, speech device)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 Speech &amp; Swallowing Function  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Speech Clarity &amp; Volume (ALS bulbar symptoms, PD hypophonia)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Swallowing Difficulty (Dysphagia) (Choking frequency, modified diet)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Facial Muscle Control (ALS-specific, expression limitations)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 Respiratory &amp; Sleep Health 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Breathing Patterns (ALS patients—monitor for respiratory decline)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Sleep Quality &amp; Disruptions (PD—REM sleep disorder, ALS—nocturnal hypoventilation)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Cognitive Health 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Memory &amp; Cognitive Decline (PD—dementia risk)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Hallucinations/Psychosis Episodes (PD-specific, medication-induced)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Medication Adherence &amp; Side Effects 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Daily Medication Schedule &amp; Reminders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Side Effects Tracking (Dizziness, nausea, confusion, fatigue)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Missed Doses Alerts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Emergency &amp; Alert Triggers 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Falls &amp; Loss of Consciousness (Real-time fall detection)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Choking or Breathing Emergency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Severe Cognitive Confusion Episodes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Panic Button for Immediate Caregiver Alert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1"/>
          <w:szCs w:val="21"/>
          <w:rtl w:val="0"/>
        </w:rPr>
        <w:t xml:space="preserve"> Caregiver-Specific Data &amp; Support 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Caregiver Stress &amp; Burnout Levels (Surveys, AI sentiment analysis)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Recommended Care Adjustments (Based on patient trends)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AI-Generated Daily Care Plans &amp; Task Reminders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Educational Materials &amp; Emergency Protocols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Resources for PD Caregivers (pulls articles from each link and displays in tips box)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https://www.parkinson.org/resources-support/pd-library (Parkinson’s foundation)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https://www.apdaparkinson.org/resources-support/ (American Parkinson disease Association)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https://med.stanford.edu/parkinsons/caregiver-corner/caregiver-resources.html ( Stanford Parkinson’s community outreach)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Resources for ALS Caregivers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https://www.als.org/navigating-als/for-caregivers/caregiver-resources (ALS Association)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https://www.caregiver.va.gov/Tips_by_Diagnosis/ALS.asp ( VA Caregiver support program)</w:t>
      </w:r>
    </w:p>
    <w:p w:rsidR="00000000" w:rsidDel="00000000" w:rsidP="00000000" w:rsidRDefault="00000000" w:rsidRPr="00000000" w14:paraId="00000058">
      <w:pPr>
        <w:shd w:fill="eff6ff" w:val="clear"/>
        <w:spacing w:after="360" w:lineRule="auto"/>
        <w:rPr>
          <w:rFonts w:ascii="Georgia" w:cs="Georgia" w:eastAsia="Georgia" w:hAnsi="Georgia"/>
          <w:color w:val="262626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262626"/>
          <w:sz w:val="21"/>
          <w:szCs w:val="21"/>
          <w:rtl w:val="0"/>
        </w:rPr>
        <w:t xml:space="preserve">https://www.atsdr.cdc.gov/emes/ALS/training/page527.html (CDC)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Solution Presented with Python Code and Solidity Code as Follows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Python Code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Fetches patient data from the OMI/Reclaim protocols.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Generates tailored caregiver tips based on the patient's diagnosis.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Displays an analytical dashboard with real-time data and visualizations.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Solidity Code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Stores patient data on the blockchain for transparency and security.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Allows adding and retrieving patient data using a unique patient ID.</w:t>
      </w:r>
    </w:p>
    <w:p w:rsidR="00000000" w:rsidDel="00000000" w:rsidP="00000000" w:rsidRDefault="00000000" w:rsidRPr="00000000" w14:paraId="00000063">
      <w:pPr>
        <w:keepNext w:val="0"/>
        <w:keepLines w:val="0"/>
        <w:spacing w:before="280" w:line="360" w:lineRule="auto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Integration Steps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Deploy the Solidity contract on a blockchain (e.g., Ethereum, Polygon).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Use the Python agent to interact with the smart contract for data storage and retrieval.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Connect the Python agent to wearable devices and health APIs for real-time data collection.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Build a frontend (e.g., using React or Flask) to display the dashboard and caregiver tips.</w:t>
      </w:r>
    </w:p>
    <w:p w:rsidR="00000000" w:rsidDel="00000000" w:rsidP="00000000" w:rsidRDefault="00000000" w:rsidRPr="00000000" w14:paraId="00000068">
      <w:pPr>
        <w:spacing w:after="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spacing w:before="280" w:line="360" w:lineRule="auto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Next Steps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Implement API integrations with wearable devices and health platforms.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Develop a user-friendly frontend for caregivers.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Conduct testing and gather feedback from caregivers and patients.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81FF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81FF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81FF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81FF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81FF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81FF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1FF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1FF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1FF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1FF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1FF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1FF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1FF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1FF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1FF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1FF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1FF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1FF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81FF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1F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81FF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1FF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81FF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81FF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81FF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81FF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1FF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1FF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81FF6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cFnvLpKRyQvH8EUKEnXmCc3feA==">CgMxLjA4AHIhMS1tMFRKRkdMck53TXVhdFNlQ0RFTGJVVUZiOW81T2xz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2025-02-10T15:31:00Z</dcterms:created>
  <dc:creator>Kiran</dc:creator>
</cp:coreProperties>
</file>