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0"/>
        <w:gridCol w:w="5900"/>
      </w:tblGrid>
      <w:tr>
        <w:trPr>
          <w:trHeight w:val="12900" w:hRule="exact"/>
        </w:trPr>
        <w:tc>
          <w:tcPr>
            <w:tcW w:type="dxa" w:w="3170"/>
            <w:tcBorders>
              <w:top w:val="none" w:color="FFFFFF" w:sz="0"/>
              <w:left w:val="none" w:color="FFFFFF" w:sz="0"/>
              <w:bottom w:val="none" w:color="FFFFFF" w:sz="0"/>
              <w:right w:val="none" w:color="FFFFFF" w:sz="0"/>
            </w:tcBorders>
            <w:shd w:fill="00768E" w:color="auto" w:val="clear"/>
            <w:tcMar>
              <w:left w:type="dxa" w:w="280"/>
              <w:right w:type="dxa" w:w="280"/>
            </w:tcMar>
            <w:vAlign w:val="center"/>
          </w:tcPr>
          <w:p>
            <w:pPr>
              <w:spacing w:after="200"/>
              <w:jc w:val="center"/>
            </w:pPr>
            <w:r>
              <w:rPr>
                <w:rFonts w:ascii="Calibri" w:cs="Calibri" w:eastAsia="Calibri" w:hAnsi="Calibri"/>
                <w:color w:val="FFFFFF"/>
                <w:sz w:val="22"/>
                <w:szCs w:val="22"/>
              </w:rPr>
              <w:t xml:space="preserve">COLEGIO PROFESIONAL DE</w:t>
            </w:r>
          </w:p>
          <w:p>
            <w:pPr>
              <w:spacing w:after="200"/>
              <w:jc w:val="center"/>
            </w:pPr>
            <w:r>
              <w:rPr>
                <w:rFonts w:ascii="Calibri" w:cs="Calibri" w:eastAsia="Calibri" w:hAnsi="Calibri"/>
                <w:b/>
                <w:bCs/>
                <w:color w:val="FFFFFF"/>
                <w:sz w:val="24"/>
                <w:szCs w:val="24"/>
              </w:rPr>
              <w:t xml:space="preserve">FISIOTERAPEUTAS</w:t>
            </w:r>
          </w:p>
          <w:p>
            <w:pPr>
              <w:spacing w:after="900"/>
              <w:jc w:val="center"/>
            </w:pPr>
            <w:r>
              <w:rPr>
                <w:rFonts w:ascii="Calibri" w:cs="Calibri" w:eastAsia="Calibri" w:hAnsi="Calibri"/>
                <w:color w:val="FFFFFF"/>
                <w:sz w:val="22"/>
                <w:szCs w:val="22"/>
              </w:rPr>
              <w:t xml:space="preserve">COMUNIDAD DE MADRID</w:t>
            </w:r>
          </w:p>
          <w:p>
            <w:pPr>
              <w:pBdr>
                <w:top w:val="single" w:color="3A94A8" w:sz="4" w:space="10"/>
              </w:pBdr>
              <w:spacing w:after="40"/>
              <w:jc w:val="center"/>
            </w:pPr>
            <w:r>
              <w:rPr>
                <w:rFonts w:ascii="Calibri" w:cs="Calibri" w:eastAsia="Calibri" w:hAnsi="Calibri"/>
                <w:i/>
                <w:iCs/>
                <w:color w:val="FFFFFF"/>
                <w:sz w:val="20"/>
                <w:szCs w:val="20"/>
              </w:rPr>
              <w:t xml:space="preserve">Documento técnico</w:t>
            </w:r>
          </w:p>
          <w:p>
            <w:pPr>
              <w:jc w:val="center"/>
            </w:pPr>
            <w:r>
              <w:rPr>
                <w:rFonts w:ascii="Calibri" w:cs="Calibri" w:eastAsia="Calibri" w:hAnsi="Calibri"/>
                <w:i/>
                <w:iCs/>
                <w:color w:val="FFFFFF"/>
                <w:sz w:val="20"/>
                <w:szCs w:val="20"/>
              </w:rPr>
              <w:t xml:space="preserve">Septiembre de 2026</w:t>
            </w:r>
          </w:p>
        </w:tc>
        <w:tc>
          <w:tcPr>
            <w:tcW w:type="dxa" w:w="5900"/>
            <w:tcBorders>
              <w:top w:val="none" w:color="FFFFFF" w:sz="0"/>
              <w:left w:val="none" w:color="FFFFFF" w:sz="0"/>
              <w:bottom w:val="none" w:color="FFFFFF" w:sz="0"/>
              <w:right w:val="none" w:color="FFFFFF" w:sz="0"/>
            </w:tcBorders>
            <w:tcMar>
              <w:left w:type="dxa" w:w="520"/>
              <w:right w:type="dxa" w:w="120"/>
            </w:tcMar>
            <w:vAlign w:val="center"/>
          </w:tcPr>
          <w:p>
            <w:pPr>
              <w:spacing w:after="160"/>
            </w:pPr>
            <w:r>
              <w:drawing>
                <wp:inline distT="0" distB="0" distL="0" distR="0">
                  <wp:extent cx="2381250" cy="504825"/>
                  <wp:effectExtent t="0" r="0" b="0" l="0"/>
                  <wp:docPr id="1" name="logo-cpfcm" descr="Colegio Profesional de Fisioterapeutas de la Comunidad de Madrid" title="Logotipo del CP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504825"/>
                          </a:xfrm>
                          <a:prstGeom prst="rect">
                            <a:avLst/>
                          </a:prstGeom>
                        </pic:spPr>
                      </pic:pic>
                    </a:graphicData>
                  </a:graphic>
                </wp:inline>
              </w:drawing>
            </w:r>
          </w:p>
          <w:p>
            <w:pPr>
              <w:spacing w:after="160" w:line="264" w:lineRule="auto"/>
            </w:pPr>
            <w:r>
              <w:rPr>
                <w:rFonts w:ascii="Calibri" w:cs="Calibri" w:eastAsia="Calibri" w:hAnsi="Calibri"/>
                <w:b/>
                <w:bCs/>
                <w:color w:val="00768E"/>
                <w:sz w:val="44"/>
                <w:szCs w:val="44"/>
              </w:rPr>
              <w:t xml:space="preserve">DOCUMENTO TÉCNICO</w:t>
            </w:r>
          </w:p>
          <w:p>
            <w:pPr>
              <w:pBdr>
                <w:bottom w:val="single" w:color="F78420" w:sz="8" w:space="12"/>
              </w:pBdr>
              <w:spacing w:after="240" w:line="276" w:lineRule="auto"/>
            </w:pPr>
            <w:r>
              <w:rPr>
                <w:rFonts w:ascii="Calibri" w:cs="Calibri" w:eastAsia="Calibri" w:hAnsi="Calibri"/>
                <w:color w:val="666666"/>
                <w:sz w:val="28"/>
                <w:szCs w:val="28"/>
              </w:rPr>
              <w:t xml:space="preserve">Fisioterapia en Atención Primaria en el Sistema Nacional de Salud</w:t>
            </w:r>
          </w:p>
          <w:p>
            <w:pPr>
              <w:spacing w:after="60" w:before="160" w:line="300" w:lineRule="auto"/>
            </w:pPr>
            <w:r>
              <w:rPr>
                <w:rFonts w:ascii="Calibri" w:cs="Calibri" w:eastAsia="Calibri" w:hAnsi="Calibri"/>
                <w:color w:val="444444"/>
                <w:sz w:val="24"/>
                <w:szCs w:val="24"/>
              </w:rPr>
              <w:t xml:space="preserve">Modelo organizativo, acceso, dotación y evaluación</w:t>
            </w:r>
          </w:p>
          <w:p>
            <w:pPr>
              <w:spacing w:after="360" w:line="300" w:lineRule="auto"/>
            </w:pPr>
            <w:r>
              <w:rPr>
                <w:rFonts w:ascii="Calibri" w:cs="Calibri" w:eastAsia="Calibri" w:hAnsi="Calibri"/>
                <w:color w:val="444444"/>
                <w:sz w:val="24"/>
                <w:szCs w:val="24"/>
              </w:rPr>
              <w:t xml:space="preserve">Propuesta dirigida al Ministerio de Sanidad</w:t>
            </w:r>
          </w:p>
          <w:p>
            <w:pPr>
              <w:jc w:val="center"/>
            </w:pPr>
            <w:r>
              <w:rPr>
                <w:rFonts w:ascii="Calibri" w:cs="Calibri" w:eastAsia="Calibri" w:hAnsi="Calibri"/>
                <w:color w:val="00768E"/>
                <w:sz w:val="22"/>
                <w:szCs w:val="22"/>
                <w:shd w:fill="E8F4F8" w:color="auto" w:val="clear"/>
              </w:rPr>
              <w:t xml:space="preserve"> 2026 </w:t>
            </w:r>
          </w:p>
        </w:tc>
      </w:tr>
    </w:tbl>
    <w:p>
      <w:pPr>
        <w:pStyle w:val="Heading1"/>
        <w:pageBreakBefore/>
      </w:pPr>
      <w:r>
        <w:rPr>
          <w:rFonts w:ascii="Calibri" w:cs="Calibri" w:eastAsia="Calibri" w:hAnsi="Calibri"/>
        </w:rPr>
        <w:t xml:space="preserve">Índice de contenidos</w:t>
      </w:r>
    </w:p>
    <w:p>
      <w:pPr>
        <w:tabs>
          <w:tab w:val="right" w:pos="9070" w:leader="dot"/>
        </w:tabs>
        <w:spacing w:after="60"/>
        <w:ind w:left="0"/>
      </w:pPr>
      <w:r>
        <w:rPr>
          <w:rFonts w:ascii="Calibri" w:cs="Calibri" w:eastAsia="Calibri" w:hAnsi="Calibri"/>
          <w:b/>
          <w:bCs/>
          <w:color w:val="00768E"/>
          <w:sz w:val="21"/>
          <w:szCs w:val="21"/>
        </w:rPr>
        <w:t xml:space="preserve">Resumen ejecutivo</w:t>
      </w:r>
      <w:r>
        <w:rPr>
          <w:rFonts w:ascii="Calibri" w:cs="Calibri" w:eastAsia="Calibri" w:hAnsi="Calibri"/>
          <w:color w:val="444444"/>
          <w:sz w:val="21"/>
          <w:szCs w:val="21"/>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Peticiones al Ministerio de Sanidad</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Fases de dotación</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Evidencia y experiencia en las que se apoya</w:t>
      </w:r>
      <w:r>
        <w:rPr>
          <w:rFonts w:ascii="Calibri" w:cs="Calibri" w:eastAsia="Calibri" w:hAnsi="Calibri"/>
          <w:color w:val="444444"/>
          <w:sz w:val="19"/>
          <w:szCs w:val="19"/>
        </w:rPr>
        <w:t xml:space="preserve">	6</w:t>
      </w:r>
    </w:p>
    <w:p>
      <w:pPr>
        <w:tabs>
          <w:tab w:val="right" w:pos="9070" w:leader="dot"/>
        </w:tabs>
        <w:spacing w:after="20"/>
        <w:ind w:left="400"/>
      </w:pPr>
      <w:r>
        <w:rPr>
          <w:rFonts w:ascii="Calibri" w:cs="Calibri" w:eastAsia="Calibri" w:hAnsi="Calibri"/>
          <w:b w:val="false"/>
          <w:bCs w:val="false"/>
          <w:color w:val="444444"/>
          <w:sz w:val="19"/>
          <w:szCs w:val="19"/>
        </w:rPr>
        <w:t xml:space="preserve">Lo que este documento no propone</w:t>
      </w:r>
      <w:r>
        <w:rPr>
          <w:rFonts w:ascii="Calibri" w:cs="Calibri" w:eastAsia="Calibri" w:hAnsi="Calibri"/>
          <w:color w:val="444444"/>
          <w:sz w:val="19"/>
          <w:szCs w:val="19"/>
        </w:rPr>
        <w:t xml:space="preserve">	6</w:t>
      </w:r>
    </w:p>
    <w:p>
      <w:pPr>
        <w:tabs>
          <w:tab w:val="right" w:pos="9070" w:leader="dot"/>
        </w:tabs>
        <w:spacing w:after="20"/>
        <w:ind w:left="400"/>
      </w:pPr>
      <w:r>
        <w:rPr>
          <w:rFonts w:ascii="Calibri" w:cs="Calibri" w:eastAsia="Calibri" w:hAnsi="Calibri"/>
          <w:b w:val="false"/>
          <w:bCs w:val="false"/>
          <w:color w:val="444444"/>
          <w:sz w:val="19"/>
          <w:szCs w:val="19"/>
        </w:rPr>
        <w:t xml:space="preserve">Nota de método</w:t>
      </w:r>
      <w:r>
        <w:rPr>
          <w:rFonts w:ascii="Calibri" w:cs="Calibri" w:eastAsia="Calibri" w:hAnsi="Calibri"/>
          <w:color w:val="444444"/>
          <w:sz w:val="19"/>
          <w:szCs w:val="19"/>
        </w:rPr>
        <w:t xml:space="preserve">	6</w:t>
      </w:r>
    </w:p>
    <w:p>
      <w:pPr>
        <w:tabs>
          <w:tab w:val="right" w:pos="9070" w:leader="dot"/>
        </w:tabs>
        <w:spacing w:after="60"/>
        <w:ind w:left="0"/>
      </w:pPr>
      <w:r>
        <w:rPr>
          <w:rFonts w:ascii="Calibri" w:cs="Calibri" w:eastAsia="Calibri" w:hAnsi="Calibri"/>
          <w:b/>
          <w:bCs/>
          <w:color w:val="00768E"/>
          <w:sz w:val="21"/>
          <w:szCs w:val="21"/>
        </w:rPr>
        <w:t xml:space="preserve">1. Introducción y justificación</w:t>
      </w:r>
      <w:r>
        <w:rPr>
          <w:rFonts w:ascii="Calibri" w:cs="Calibri" w:eastAsia="Calibri" w:hAnsi="Calibri"/>
          <w:color w:val="444444"/>
          <w:sz w:val="21"/>
          <w:szCs w:val="21"/>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1.1. Papel de la fisioterapia en el primer nivel asistencial</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1.2. Carga de los procesos musculoesqueléticos en atención primaria</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1.3. Incapacidad temporal por procesos musculoesqueléticos</w:t>
      </w:r>
      <w:r>
        <w:rPr>
          <w:rFonts w:ascii="Calibri" w:cs="Calibri" w:eastAsia="Calibri" w:hAnsi="Calibri"/>
          <w:color w:val="444444"/>
          <w:sz w:val="19"/>
          <w:szCs w:val="19"/>
        </w:rPr>
        <w:t xml:space="preserve">	8</w:t>
      </w:r>
    </w:p>
    <w:p>
      <w:pPr>
        <w:tabs>
          <w:tab w:val="right" w:pos="9070" w:leader="dot"/>
        </w:tabs>
        <w:spacing w:after="20"/>
        <w:ind w:left="400"/>
      </w:pPr>
      <w:r>
        <w:rPr>
          <w:rFonts w:ascii="Calibri" w:cs="Calibri" w:eastAsia="Calibri" w:hAnsi="Calibri"/>
          <w:b w:val="false"/>
          <w:bCs w:val="false"/>
          <w:color w:val="444444"/>
          <w:sz w:val="19"/>
          <w:szCs w:val="19"/>
        </w:rPr>
        <w:t xml:space="preserve">1.4. El coste de derivar tarde o de derivar dos veces</w:t>
      </w:r>
      <w:r>
        <w:rPr>
          <w:rFonts w:ascii="Calibri" w:cs="Calibri" w:eastAsia="Calibri" w:hAnsi="Calibri"/>
          <w:color w:val="444444"/>
          <w:sz w:val="19"/>
          <w:szCs w:val="19"/>
        </w:rPr>
        <w:t xml:space="preserve">	9</w:t>
      </w:r>
    </w:p>
    <w:p>
      <w:pPr>
        <w:tabs>
          <w:tab w:val="right" w:pos="9070" w:leader="dot"/>
        </w:tabs>
        <w:spacing w:after="20"/>
        <w:ind w:left="400"/>
      </w:pPr>
      <w:r>
        <w:rPr>
          <w:rFonts w:ascii="Calibri" w:cs="Calibri" w:eastAsia="Calibri" w:hAnsi="Calibri"/>
          <w:b w:val="false"/>
          <w:bCs w:val="false"/>
          <w:color w:val="444444"/>
          <w:sz w:val="19"/>
          <w:szCs w:val="19"/>
        </w:rPr>
        <w:t xml:space="preserve">1.5. Capacidad resolutiva de la fisioterapia de atención primaria</w:t>
      </w:r>
      <w:r>
        <w:rPr>
          <w:rFonts w:ascii="Calibri" w:cs="Calibri" w:eastAsia="Calibri" w:hAnsi="Calibri"/>
          <w:color w:val="444444"/>
          <w:sz w:val="19"/>
          <w:szCs w:val="19"/>
        </w:rPr>
        <w:t xml:space="preserve">	10</w:t>
      </w:r>
    </w:p>
    <w:p>
      <w:pPr>
        <w:tabs>
          <w:tab w:val="right" w:pos="9070" w:leader="dot"/>
        </w:tabs>
        <w:spacing w:after="60"/>
        <w:ind w:left="0"/>
      </w:pPr>
      <w:r>
        <w:rPr>
          <w:rFonts w:ascii="Calibri" w:cs="Calibri" w:eastAsia="Calibri" w:hAnsi="Calibri"/>
          <w:b/>
          <w:bCs/>
          <w:color w:val="00768E"/>
          <w:sz w:val="21"/>
          <w:szCs w:val="21"/>
        </w:rPr>
        <w:t xml:space="preserve">2. Marco normativo y de planificación</w:t>
      </w:r>
      <w:r>
        <w:rPr>
          <w:rFonts w:ascii="Calibri" w:cs="Calibri" w:eastAsia="Calibri" w:hAnsi="Calibri"/>
          <w:color w:val="444444"/>
          <w:sz w:val="21"/>
          <w:szCs w:val="21"/>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2.1. Ley 44/2003, de ordenación de las profesiones sanitarias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2.2. Real Decreto 1030/2006, de cartera de servicios comunes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2.3. Ley 16/2003, de cohesión y calidad del Sistema Nacional de Salud</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2.4. Marco Estratégico y planes de acción de atención primaria</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2.5. Instrumentos autonómicos que desarrollan la cartera común</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2.6. Real Decreto 601/2019, sobre exposiciones médicas</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2.7. Marco internacional</w:t>
      </w:r>
      <w:r>
        <w:rPr>
          <w:rFonts w:ascii="Calibri" w:cs="Calibri" w:eastAsia="Calibri" w:hAnsi="Calibri"/>
          <w:color w:val="444444"/>
          <w:sz w:val="19"/>
          <w:szCs w:val="19"/>
        </w:rPr>
        <w:t xml:space="preserve">	13</w:t>
      </w:r>
    </w:p>
    <w:p>
      <w:pPr>
        <w:tabs>
          <w:tab w:val="right" w:pos="9070" w:leader="dot"/>
        </w:tabs>
        <w:spacing w:after="60"/>
        <w:ind w:left="0"/>
      </w:pPr>
      <w:r>
        <w:rPr>
          <w:rFonts w:ascii="Calibri" w:cs="Calibri" w:eastAsia="Calibri" w:hAnsi="Calibri"/>
          <w:b/>
          <w:bCs/>
          <w:color w:val="00768E"/>
          <w:sz w:val="21"/>
          <w:szCs w:val="21"/>
        </w:rPr>
        <w:t xml:space="preserve">3. Situación de la fisioterapia de atención primaria en España</w:t>
      </w:r>
      <w:r>
        <w:rPr>
          <w:rFonts w:ascii="Calibri" w:cs="Calibri" w:eastAsia="Calibri" w:hAnsi="Calibri"/>
          <w:color w:val="444444"/>
          <w:sz w:val="21"/>
          <w:szCs w:val="21"/>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3.1. Dotación actual</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3.2. Modelos autonómicos</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3.3. Modelos de referencia en España</w:t>
      </w:r>
      <w:r>
        <w:rPr>
          <w:rFonts w:ascii="Calibri" w:cs="Calibri" w:eastAsia="Calibri" w:hAnsi="Calibri"/>
          <w:color w:val="444444"/>
          <w:sz w:val="19"/>
          <w:szCs w:val="19"/>
        </w:rPr>
        <w:t xml:space="preserve">	15</w:t>
      </w:r>
    </w:p>
    <w:p>
      <w:pPr>
        <w:tabs>
          <w:tab w:val="right" w:pos="9070" w:leader="dot"/>
        </w:tabs>
        <w:spacing w:after="20"/>
        <w:ind w:left="400"/>
      </w:pPr>
      <w:r>
        <w:rPr>
          <w:rFonts w:ascii="Calibri" w:cs="Calibri" w:eastAsia="Calibri" w:hAnsi="Calibri"/>
          <w:b w:val="false"/>
          <w:bCs w:val="false"/>
          <w:color w:val="444444"/>
          <w:sz w:val="19"/>
          <w:szCs w:val="19"/>
        </w:rPr>
        <w:t xml:space="preserve">3.4. Diagnóstico de los modelos vigentes en los documentos profesionales</w:t>
      </w:r>
      <w:r>
        <w:rPr>
          <w:rFonts w:ascii="Calibri" w:cs="Calibri" w:eastAsia="Calibri" w:hAnsi="Calibri"/>
          <w:color w:val="444444"/>
          <w:sz w:val="19"/>
          <w:szCs w:val="19"/>
        </w:rPr>
        <w:t xml:space="preserve">	17</w:t>
      </w:r>
    </w:p>
    <w:p>
      <w:pPr>
        <w:tabs>
          <w:tab w:val="right" w:pos="9070" w:leader="dot"/>
        </w:tabs>
        <w:spacing w:after="20"/>
        <w:ind w:left="400"/>
      </w:pPr>
      <w:r>
        <w:rPr>
          <w:rFonts w:ascii="Calibri" w:cs="Calibri" w:eastAsia="Calibri" w:hAnsi="Calibri"/>
          <w:b w:val="false"/>
          <w:bCs w:val="false"/>
          <w:color w:val="444444"/>
          <w:sz w:val="19"/>
          <w:szCs w:val="19"/>
        </w:rPr>
        <w:t xml:space="preserve">3.5. Heterogeneidad e inequidad</w:t>
      </w:r>
      <w:r>
        <w:rPr>
          <w:rFonts w:ascii="Calibri" w:cs="Calibri" w:eastAsia="Calibri" w:hAnsi="Calibri"/>
          <w:color w:val="444444"/>
          <w:sz w:val="19"/>
          <w:szCs w:val="19"/>
        </w:rPr>
        <w:t xml:space="preserve">	18</w:t>
      </w:r>
    </w:p>
    <w:p>
      <w:pPr>
        <w:tabs>
          <w:tab w:val="right" w:pos="9070" w:leader="dot"/>
        </w:tabs>
        <w:spacing w:after="60"/>
        <w:ind w:left="0"/>
      </w:pPr>
      <w:r>
        <w:rPr>
          <w:rFonts w:ascii="Calibri" w:cs="Calibri" w:eastAsia="Calibri" w:hAnsi="Calibri"/>
          <w:b/>
          <w:bCs/>
          <w:color w:val="00768E"/>
          <w:sz w:val="21"/>
          <w:szCs w:val="21"/>
        </w:rPr>
        <w:t xml:space="preserve">4. Modelos internacionales de referencia</w:t>
      </w:r>
      <w:r>
        <w:rPr>
          <w:rFonts w:ascii="Calibri" w:cs="Calibri" w:eastAsia="Calibri" w:hAnsi="Calibri"/>
          <w:color w:val="444444"/>
          <w:sz w:val="21"/>
          <w:szCs w:val="21"/>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4.1. Inglaterra y la fisioterapia de primer contacto</w:t>
      </w:r>
      <w:r>
        <w:rPr>
          <w:rFonts w:ascii="Calibri" w:cs="Calibri" w:eastAsia="Calibri" w:hAnsi="Calibri"/>
          <w:color w:val="444444"/>
          <w:sz w:val="19"/>
          <w:szCs w:val="19"/>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4.2. Noruega, Países Bajos y Suecia y la autorreferencia normalizada</w:t>
      </w:r>
      <w:r>
        <w:rPr>
          <w:rFonts w:ascii="Calibri" w:cs="Calibri" w:eastAsia="Calibri" w:hAnsi="Calibri"/>
          <w:color w:val="444444"/>
          <w:sz w:val="19"/>
          <w:szCs w:val="19"/>
        </w:rPr>
        <w:t xml:space="preserve">	20</w:t>
      </w:r>
    </w:p>
    <w:p>
      <w:pPr>
        <w:tabs>
          <w:tab w:val="right" w:pos="9070" w:leader="dot"/>
        </w:tabs>
        <w:spacing w:after="20"/>
        <w:ind w:left="400"/>
      </w:pPr>
      <w:r>
        <w:rPr>
          <w:rFonts w:ascii="Calibri" w:cs="Calibri" w:eastAsia="Calibri" w:hAnsi="Calibri"/>
          <w:b w:val="false"/>
          <w:bCs w:val="false"/>
          <w:color w:val="444444"/>
          <w:sz w:val="19"/>
          <w:szCs w:val="19"/>
        </w:rPr>
        <w:t xml:space="preserve">4.3. Australia y Canadá</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4.4. Triaje musculoesquelético por fisioterapia y tasa de conversión quirúrgica</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4.5. Síntesis de la evidencia sobre acceso directo</w:t>
      </w:r>
      <w:r>
        <w:rPr>
          <w:rFonts w:ascii="Calibri" w:cs="Calibri" w:eastAsia="Calibri" w:hAnsi="Calibri"/>
          <w:color w:val="444444"/>
          <w:sz w:val="19"/>
          <w:szCs w:val="19"/>
        </w:rPr>
        <w:t xml:space="preserve">	22</w:t>
      </w:r>
    </w:p>
    <w:p>
      <w:pPr>
        <w:tabs>
          <w:tab w:val="right" w:pos="9070" w:leader="dot"/>
        </w:tabs>
        <w:spacing w:after="20"/>
        <w:ind w:left="400"/>
      </w:pPr>
      <w:r>
        <w:rPr>
          <w:rFonts w:ascii="Calibri" w:cs="Calibri" w:eastAsia="Calibri" w:hAnsi="Calibri"/>
          <w:b w:val="false"/>
          <w:bCs w:val="false"/>
          <w:color w:val="444444"/>
          <w:sz w:val="19"/>
          <w:szCs w:val="19"/>
        </w:rPr>
        <w:t xml:space="preserve">4.6. Densidad de fisioterapeutas en Europa</w:t>
      </w:r>
      <w:r>
        <w:rPr>
          <w:rFonts w:ascii="Calibri" w:cs="Calibri" w:eastAsia="Calibri" w:hAnsi="Calibri"/>
          <w:color w:val="444444"/>
          <w:sz w:val="19"/>
          <w:szCs w:val="19"/>
        </w:rPr>
        <w:t xml:space="preserve">	23</w:t>
      </w:r>
    </w:p>
    <w:p>
      <w:pPr>
        <w:tabs>
          <w:tab w:val="right" w:pos="9070" w:leader="dot"/>
        </w:tabs>
        <w:spacing w:after="60"/>
        <w:ind w:left="0"/>
      </w:pPr>
      <w:r>
        <w:rPr>
          <w:rFonts w:ascii="Calibri" w:cs="Calibri" w:eastAsia="Calibri" w:hAnsi="Calibri"/>
          <w:b/>
          <w:bCs/>
          <w:color w:val="00768E"/>
          <w:sz w:val="21"/>
          <w:szCs w:val="21"/>
        </w:rPr>
        <w:t xml:space="preserve">5. Modelo organizativo propuesto</w:t>
      </w:r>
      <w:r>
        <w:rPr>
          <w:rFonts w:ascii="Calibri" w:cs="Calibri" w:eastAsia="Calibri" w:hAnsi="Calibri"/>
          <w:color w:val="444444"/>
          <w:sz w:val="21"/>
          <w:szCs w:val="21"/>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5.1. Principios</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5.2. Niveles de atención comunitaria</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5.3. Funciones clínicas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5.4. Programas grupales y programas comunitarios</w:t>
      </w:r>
      <w:r>
        <w:rPr>
          <w:rFonts w:ascii="Calibri" w:cs="Calibri" w:eastAsia="Calibri" w:hAnsi="Calibri"/>
          <w:color w:val="444444"/>
          <w:sz w:val="19"/>
          <w:szCs w:val="19"/>
        </w:rPr>
        <w:t xml:space="preserve">	27</w:t>
      </w:r>
    </w:p>
    <w:p>
      <w:pPr>
        <w:tabs>
          <w:tab w:val="right" w:pos="9070" w:leader="dot"/>
        </w:tabs>
        <w:spacing w:after="20"/>
        <w:ind w:left="400"/>
      </w:pPr>
      <w:r>
        <w:rPr>
          <w:rFonts w:ascii="Calibri" w:cs="Calibri" w:eastAsia="Calibri" w:hAnsi="Calibri"/>
          <w:b w:val="false"/>
          <w:bCs w:val="false"/>
          <w:color w:val="444444"/>
          <w:sz w:val="19"/>
          <w:szCs w:val="19"/>
        </w:rPr>
        <w:t xml:space="preserve">5.5. Modalidades asistenciales</w:t>
      </w:r>
      <w:r>
        <w:rPr>
          <w:rFonts w:ascii="Calibri" w:cs="Calibri" w:eastAsia="Calibri" w:hAnsi="Calibri"/>
          <w:color w:val="444444"/>
          <w:sz w:val="19"/>
          <w:szCs w:val="19"/>
        </w:rPr>
        <w:t xml:space="preserve">	28</w:t>
      </w:r>
    </w:p>
    <w:p>
      <w:pPr>
        <w:tabs>
          <w:tab w:val="right" w:pos="9070" w:leader="dot"/>
        </w:tabs>
        <w:spacing w:after="20"/>
        <w:ind w:left="400"/>
      </w:pPr>
      <w:r>
        <w:rPr>
          <w:rFonts w:ascii="Calibri" w:cs="Calibri" w:eastAsia="Calibri" w:hAnsi="Calibri"/>
          <w:b w:val="false"/>
          <w:bCs w:val="false"/>
          <w:color w:val="444444"/>
          <w:sz w:val="19"/>
          <w:szCs w:val="19"/>
        </w:rPr>
        <w:t xml:space="preserve">5.6. Herramientas de salud digital</w:t>
      </w:r>
      <w:r>
        <w:rPr>
          <w:rFonts w:ascii="Calibri" w:cs="Calibri" w:eastAsia="Calibri" w:hAnsi="Calibri"/>
          <w:color w:val="444444"/>
          <w:sz w:val="19"/>
          <w:szCs w:val="19"/>
        </w:rPr>
        <w:t xml:space="preserve">	29</w:t>
      </w:r>
    </w:p>
    <w:p>
      <w:pPr>
        <w:tabs>
          <w:tab w:val="right" w:pos="9070" w:leader="dot"/>
        </w:tabs>
        <w:spacing w:after="60"/>
        <w:ind w:left="0"/>
      </w:pPr>
      <w:r>
        <w:rPr>
          <w:rFonts w:ascii="Calibri" w:cs="Calibri" w:eastAsia="Calibri" w:hAnsi="Calibri"/>
          <w:b/>
          <w:bCs/>
          <w:color w:val="00768E"/>
          <w:sz w:val="21"/>
          <w:szCs w:val="21"/>
        </w:rPr>
        <w:t xml:space="preserve">6. Vías de acceso y circuitos asistenciales</w:t>
      </w:r>
      <w:r>
        <w:rPr>
          <w:rFonts w:ascii="Calibri" w:cs="Calibri" w:eastAsia="Calibri" w:hAnsi="Calibri"/>
          <w:color w:val="444444"/>
          <w:sz w:val="21"/>
          <w:szCs w:val="21"/>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6.1. Vías de entrada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6.2. Circuito 1. Autorreferencia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6.3. Circuito 2. Derivación desde medicina de familia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6.4. Circuito 3. Derivación desde enfermería familiar y comunitaria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6.5. Circuito 4. Derivación desde medicina de atención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6.6. Circuito 5. Retorno desde rehabilitación hospitalaria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6.7. Coordinación con otras unidades de atención específica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6.8. Matriz de coherencia</w:t>
      </w:r>
      <w:r>
        <w:rPr>
          <w:rFonts w:ascii="Calibri" w:cs="Calibri" w:eastAsia="Calibri" w:hAnsi="Calibri"/>
          <w:color w:val="444444"/>
          <w:sz w:val="19"/>
          <w:szCs w:val="19"/>
        </w:rPr>
        <w:t xml:space="preserve">	34</w:t>
      </w:r>
    </w:p>
    <w:p>
      <w:pPr>
        <w:tabs>
          <w:tab w:val="right" w:pos="9070" w:leader="dot"/>
        </w:tabs>
        <w:spacing w:after="60"/>
        <w:ind w:left="0"/>
      </w:pPr>
      <w:r>
        <w:rPr>
          <w:rFonts w:ascii="Calibri" w:cs="Calibri" w:eastAsia="Calibri" w:hAnsi="Calibri"/>
          <w:b/>
          <w:bCs/>
          <w:color w:val="00768E"/>
          <w:sz w:val="21"/>
          <w:szCs w:val="21"/>
        </w:rPr>
        <w:t xml:space="preserve">7. Competencias solicitadas y marco legal</w:t>
      </w:r>
      <w:r>
        <w:rPr>
          <w:rFonts w:ascii="Calibri" w:cs="Calibri" w:eastAsia="Calibri" w:hAnsi="Calibri"/>
          <w:color w:val="444444"/>
          <w:sz w:val="21"/>
          <w:szCs w:val="21"/>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7.1. Competencias que ya amparan la Ley 44/2003 y la Orden CIN/2135/2008</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7.2. Competencias que requieren desarrollo autonómico o protocolo</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7.3. Ecografía como apoyo a la valoración</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7.4. Solicitud de radiología simple</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7.5. Compatibilidad con la cartera común</w:t>
      </w:r>
      <w:r>
        <w:rPr>
          <w:rFonts w:ascii="Calibri" w:cs="Calibri" w:eastAsia="Calibri" w:hAnsi="Calibri"/>
          <w:color w:val="444444"/>
          <w:sz w:val="19"/>
          <w:szCs w:val="19"/>
        </w:rPr>
        <w:t xml:space="preserve">	37</w:t>
      </w:r>
    </w:p>
    <w:p>
      <w:pPr>
        <w:tabs>
          <w:tab w:val="right" w:pos="9070" w:leader="dot"/>
        </w:tabs>
        <w:spacing w:after="20"/>
        <w:ind w:left="400"/>
      </w:pPr>
      <w:r>
        <w:rPr>
          <w:rFonts w:ascii="Calibri" w:cs="Calibri" w:eastAsia="Calibri" w:hAnsi="Calibri"/>
          <w:b w:val="false"/>
          <w:bCs w:val="false"/>
          <w:color w:val="444444"/>
          <w:sz w:val="19"/>
          <w:szCs w:val="19"/>
        </w:rPr>
        <w:t xml:space="preserve">7.6. Prescripción en el proyecto de ley de medicamentos</w:t>
      </w:r>
      <w:r>
        <w:rPr>
          <w:rFonts w:ascii="Calibri" w:cs="Calibri" w:eastAsia="Calibri" w:hAnsi="Calibri"/>
          <w:color w:val="444444"/>
          <w:sz w:val="19"/>
          <w:szCs w:val="19"/>
        </w:rPr>
        <w:t xml:space="preserve">	37</w:t>
      </w:r>
    </w:p>
    <w:p>
      <w:pPr>
        <w:tabs>
          <w:tab w:val="right" w:pos="9070" w:leader="dot"/>
        </w:tabs>
        <w:spacing w:after="20"/>
        <w:ind w:left="400"/>
      </w:pPr>
      <w:r>
        <w:rPr>
          <w:rFonts w:ascii="Calibri" w:cs="Calibri" w:eastAsia="Calibri" w:hAnsi="Calibri"/>
          <w:b w:val="false"/>
          <w:bCs w:val="false"/>
          <w:color w:val="444444"/>
          <w:sz w:val="19"/>
          <w:szCs w:val="19"/>
        </w:rPr>
        <w:t xml:space="preserve">7.7. Lo que no se pide</w:t>
      </w:r>
      <w:r>
        <w:rPr>
          <w:rFonts w:ascii="Calibri" w:cs="Calibri" w:eastAsia="Calibri" w:hAnsi="Calibri"/>
          <w:color w:val="444444"/>
          <w:sz w:val="19"/>
          <w:szCs w:val="19"/>
        </w:rPr>
        <w:t xml:space="preserve">	37</w:t>
      </w:r>
    </w:p>
    <w:p>
      <w:pPr>
        <w:tabs>
          <w:tab w:val="right" w:pos="9070" w:leader="dot"/>
        </w:tabs>
        <w:spacing w:after="60"/>
        <w:ind w:left="0"/>
      </w:pPr>
      <w:r>
        <w:rPr>
          <w:rFonts w:ascii="Calibri" w:cs="Calibri" w:eastAsia="Calibri" w:hAnsi="Calibri"/>
          <w:b/>
          <w:bCs/>
          <w:color w:val="00768E"/>
          <w:sz w:val="21"/>
          <w:szCs w:val="21"/>
        </w:rPr>
        <w:t xml:space="preserve">8. Criterios clínicos de acceso directo</w:t>
      </w:r>
      <w:r>
        <w:rPr>
          <w:rFonts w:ascii="Calibri" w:cs="Calibri" w:eastAsia="Calibri" w:hAnsi="Calibri"/>
          <w:color w:val="444444"/>
          <w:sz w:val="21"/>
          <w:szCs w:val="21"/>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8.1. Criterio transversal de seguridad clínica</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8.2. Procesos con acceso directo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8.3. Situaciones excluidas del acceso directo</w:t>
      </w:r>
      <w:r>
        <w:rPr>
          <w:rFonts w:ascii="Calibri" w:cs="Calibri" w:eastAsia="Calibri" w:hAnsi="Calibri"/>
          <w:color w:val="444444"/>
          <w:sz w:val="19"/>
          <w:szCs w:val="19"/>
        </w:rPr>
        <w:t xml:space="preserve">	40</w:t>
      </w:r>
    </w:p>
    <w:p>
      <w:pPr>
        <w:tabs>
          <w:tab w:val="right" w:pos="9070" w:leader="dot"/>
        </w:tabs>
        <w:spacing w:after="20"/>
        <w:ind w:left="400"/>
      </w:pPr>
      <w:r>
        <w:rPr>
          <w:rFonts w:ascii="Calibri" w:cs="Calibri" w:eastAsia="Calibri" w:hAnsi="Calibri"/>
          <w:b w:val="false"/>
          <w:bCs w:val="false"/>
          <w:color w:val="444444"/>
          <w:sz w:val="19"/>
          <w:szCs w:val="19"/>
        </w:rPr>
        <w:t xml:space="preserve">8.4. Herramientas de cribado</w:t>
      </w:r>
      <w:r>
        <w:rPr>
          <w:rFonts w:ascii="Calibri" w:cs="Calibri" w:eastAsia="Calibri" w:hAnsi="Calibri"/>
          <w:color w:val="444444"/>
          <w:sz w:val="19"/>
          <w:szCs w:val="19"/>
        </w:rPr>
        <w:t xml:space="preserve">	40</w:t>
      </w:r>
    </w:p>
    <w:p>
      <w:pPr>
        <w:tabs>
          <w:tab w:val="right" w:pos="9070" w:leader="dot"/>
        </w:tabs>
        <w:spacing w:after="20"/>
        <w:ind w:left="400"/>
      </w:pPr>
      <w:r>
        <w:rPr>
          <w:rFonts w:ascii="Calibri" w:cs="Calibri" w:eastAsia="Calibri" w:hAnsi="Calibri"/>
          <w:b w:val="false"/>
          <w:bCs w:val="false"/>
          <w:color w:val="444444"/>
          <w:sz w:val="19"/>
          <w:szCs w:val="19"/>
        </w:rPr>
        <w:t xml:space="preserve">8.5. Evidencia de efectividad en los procesos de acceso directo</w:t>
      </w:r>
      <w:r>
        <w:rPr>
          <w:rFonts w:ascii="Calibri" w:cs="Calibri" w:eastAsia="Calibri" w:hAnsi="Calibri"/>
          <w:color w:val="444444"/>
          <w:sz w:val="19"/>
          <w:szCs w:val="19"/>
        </w:rPr>
        <w:t xml:space="preserve">	41</w:t>
      </w:r>
    </w:p>
    <w:p>
      <w:pPr>
        <w:tabs>
          <w:tab w:val="right" w:pos="9070" w:leader="dot"/>
        </w:tabs>
        <w:spacing w:after="60"/>
        <w:ind w:left="0"/>
      </w:pPr>
      <w:r>
        <w:rPr>
          <w:rFonts w:ascii="Calibri" w:cs="Calibri" w:eastAsia="Calibri" w:hAnsi="Calibri"/>
          <w:b/>
          <w:bCs/>
          <w:color w:val="00768E"/>
          <w:sz w:val="21"/>
          <w:szCs w:val="21"/>
        </w:rPr>
        <w:t xml:space="preserve">9. Dotación calculada por demanda, por fases y con ajuste territorial</w:t>
      </w:r>
      <w:r>
        <w:rPr>
          <w:rFonts w:ascii="Calibri" w:cs="Calibri" w:eastAsia="Calibri" w:hAnsi="Calibri"/>
          <w:color w:val="444444"/>
          <w:sz w:val="21"/>
          <w:szCs w:val="21"/>
        </w:rPr>
        <w:t xml:space="preserve">	43</w:t>
      </w:r>
    </w:p>
    <w:p>
      <w:pPr>
        <w:tabs>
          <w:tab w:val="right" w:pos="9070" w:leader="dot"/>
        </w:tabs>
        <w:spacing w:after="20"/>
        <w:ind w:left="400"/>
      </w:pPr>
      <w:r>
        <w:rPr>
          <w:rFonts w:ascii="Calibri" w:cs="Calibri" w:eastAsia="Calibri" w:hAnsi="Calibri"/>
          <w:b w:val="false"/>
          <w:bCs w:val="false"/>
          <w:color w:val="444444"/>
          <w:sz w:val="19"/>
          <w:szCs w:val="19"/>
        </w:rPr>
        <w:t xml:space="preserve">9.1. Punto de partida</w:t>
      </w:r>
      <w:r>
        <w:rPr>
          <w:rFonts w:ascii="Calibri" w:cs="Calibri" w:eastAsia="Calibri" w:hAnsi="Calibri"/>
          <w:color w:val="444444"/>
          <w:sz w:val="19"/>
          <w:szCs w:val="19"/>
        </w:rPr>
        <w:t xml:space="preserve">	43</w:t>
      </w:r>
    </w:p>
    <w:p>
      <w:pPr>
        <w:tabs>
          <w:tab w:val="right" w:pos="9070" w:leader="dot"/>
        </w:tabs>
        <w:spacing w:after="20"/>
        <w:ind w:left="400"/>
      </w:pPr>
      <w:r>
        <w:rPr>
          <w:rFonts w:ascii="Calibri" w:cs="Calibri" w:eastAsia="Calibri" w:hAnsi="Calibri"/>
          <w:b w:val="false"/>
          <w:bCs w:val="false"/>
          <w:color w:val="444444"/>
          <w:sz w:val="19"/>
          <w:szCs w:val="19"/>
        </w:rPr>
        <w:t xml:space="preserve">9.2. Modelo de demanda</w:t>
      </w:r>
      <w:r>
        <w:rPr>
          <w:rFonts w:ascii="Calibri" w:cs="Calibri" w:eastAsia="Calibri" w:hAnsi="Calibri"/>
          <w:color w:val="444444"/>
          <w:sz w:val="19"/>
          <w:szCs w:val="19"/>
        </w:rPr>
        <w:t xml:space="preserve">	43</w:t>
      </w:r>
    </w:p>
    <w:p>
      <w:pPr>
        <w:tabs>
          <w:tab w:val="right" w:pos="9070" w:leader="dot"/>
        </w:tabs>
        <w:spacing w:after="20"/>
        <w:ind w:left="400"/>
      </w:pPr>
      <w:r>
        <w:rPr>
          <w:rFonts w:ascii="Calibri" w:cs="Calibri" w:eastAsia="Calibri" w:hAnsi="Calibri"/>
          <w:b w:val="false"/>
          <w:bCs w:val="false"/>
          <w:color w:val="444444"/>
          <w:sz w:val="19"/>
          <w:szCs w:val="19"/>
        </w:rPr>
        <w:t xml:space="preserve">9.3. Escenarios como fases</w:t>
      </w:r>
      <w:r>
        <w:rPr>
          <w:rFonts w:ascii="Calibri" w:cs="Calibri" w:eastAsia="Calibri" w:hAnsi="Calibri"/>
          <w:color w:val="444444"/>
          <w:sz w:val="19"/>
          <w:szCs w:val="19"/>
        </w:rPr>
        <w:t xml:space="preserve">	46</w:t>
      </w:r>
    </w:p>
    <w:p>
      <w:pPr>
        <w:tabs>
          <w:tab w:val="right" w:pos="9070" w:leader="dot"/>
        </w:tabs>
        <w:spacing w:after="20"/>
        <w:ind w:left="400"/>
      </w:pPr>
      <w:r>
        <w:rPr>
          <w:rFonts w:ascii="Calibri" w:cs="Calibri" w:eastAsia="Calibri" w:hAnsi="Calibri"/>
          <w:b w:val="false"/>
          <w:bCs w:val="false"/>
          <w:color w:val="444444"/>
          <w:sz w:val="19"/>
          <w:szCs w:val="19"/>
        </w:rPr>
        <w:t xml:space="preserve">9.4. Ajustes territoriales</w:t>
      </w:r>
      <w:r>
        <w:rPr>
          <w:rFonts w:ascii="Calibri" w:cs="Calibri" w:eastAsia="Calibri" w:hAnsi="Calibri"/>
          <w:color w:val="444444"/>
          <w:sz w:val="19"/>
          <w:szCs w:val="19"/>
        </w:rPr>
        <w:t xml:space="preserve">	46</w:t>
      </w:r>
    </w:p>
    <w:p>
      <w:pPr>
        <w:tabs>
          <w:tab w:val="right" w:pos="9070" w:leader="dot"/>
        </w:tabs>
        <w:spacing w:after="20"/>
        <w:ind w:left="400"/>
      </w:pPr>
      <w:r>
        <w:rPr>
          <w:rFonts w:ascii="Calibri" w:cs="Calibri" w:eastAsia="Calibri" w:hAnsi="Calibri"/>
          <w:b w:val="false"/>
          <w:bCs w:val="false"/>
          <w:color w:val="444444"/>
          <w:sz w:val="19"/>
          <w:szCs w:val="19"/>
        </w:rPr>
        <w:t xml:space="preserve">9.5. Referencias externas de dotación</w:t>
      </w:r>
      <w:r>
        <w:rPr>
          <w:rFonts w:ascii="Calibri" w:cs="Calibri" w:eastAsia="Calibri" w:hAnsi="Calibri"/>
          <w:color w:val="444444"/>
          <w:sz w:val="19"/>
          <w:szCs w:val="19"/>
        </w:rPr>
        <w:t xml:space="preserve">	47</w:t>
      </w:r>
    </w:p>
    <w:p>
      <w:pPr>
        <w:tabs>
          <w:tab w:val="right" w:pos="9070" w:leader="dot"/>
        </w:tabs>
        <w:spacing w:after="20"/>
        <w:ind w:left="400"/>
      </w:pPr>
      <w:r>
        <w:rPr>
          <w:rFonts w:ascii="Calibri" w:cs="Calibri" w:eastAsia="Calibri" w:hAnsi="Calibri"/>
          <w:b w:val="false"/>
          <w:bCs w:val="false"/>
          <w:color w:val="444444"/>
          <w:sz w:val="19"/>
          <w:szCs w:val="19"/>
        </w:rPr>
        <w:t xml:space="preserve">9.6. Retorno económico esperado</w:t>
      </w:r>
      <w:r>
        <w:rPr>
          <w:rFonts w:ascii="Calibri" w:cs="Calibri" w:eastAsia="Calibri" w:hAnsi="Calibri"/>
          <w:color w:val="444444"/>
          <w:sz w:val="19"/>
          <w:szCs w:val="19"/>
        </w:rPr>
        <w:t xml:space="preserve">	47</w:t>
      </w:r>
    </w:p>
    <w:p>
      <w:pPr>
        <w:tabs>
          <w:tab w:val="right" w:pos="9070" w:leader="dot"/>
        </w:tabs>
        <w:spacing w:after="60"/>
        <w:ind w:left="0"/>
      </w:pPr>
      <w:r>
        <w:rPr>
          <w:rFonts w:ascii="Calibri" w:cs="Calibri" w:eastAsia="Calibri" w:hAnsi="Calibri"/>
          <w:b/>
          <w:bCs/>
          <w:color w:val="00768E"/>
          <w:sz w:val="21"/>
          <w:szCs w:val="21"/>
        </w:rPr>
        <w:t xml:space="preserve">10. Sistema de evaluación en formato EFQM</w:t>
      </w:r>
      <w:r>
        <w:rPr>
          <w:rFonts w:ascii="Calibri" w:cs="Calibri" w:eastAsia="Calibri" w:hAnsi="Calibri"/>
          <w:color w:val="444444"/>
          <w:sz w:val="21"/>
          <w:szCs w:val="21"/>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10.1. Marco</w:t>
      </w:r>
      <w:r>
        <w:rPr>
          <w:rFonts w:ascii="Calibri" w:cs="Calibri" w:eastAsia="Calibri" w:hAnsi="Calibri"/>
          <w:color w:val="444444"/>
          <w:sz w:val="19"/>
          <w:szCs w:val="19"/>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10.2. Indicadores de Dirección</w:t>
      </w:r>
      <w:r>
        <w:rPr>
          <w:rFonts w:ascii="Calibri" w:cs="Calibri" w:eastAsia="Calibri" w:hAnsi="Calibri"/>
          <w:color w:val="444444"/>
          <w:sz w:val="19"/>
          <w:szCs w:val="19"/>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10.3. Indicadores de Ejecución</w:t>
      </w:r>
      <w:r>
        <w:rPr>
          <w:rFonts w:ascii="Calibri" w:cs="Calibri" w:eastAsia="Calibri" w:hAnsi="Calibri"/>
          <w:color w:val="444444"/>
          <w:sz w:val="19"/>
          <w:szCs w:val="19"/>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10.4. Indicadores de Resultados</w:t>
      </w:r>
      <w:r>
        <w:rPr>
          <w:rFonts w:ascii="Calibri" w:cs="Calibri" w:eastAsia="Calibri" w:hAnsi="Calibri"/>
          <w:color w:val="444444"/>
          <w:sz w:val="19"/>
          <w:szCs w:val="19"/>
        </w:rPr>
        <w:t xml:space="preserve">	51</w:t>
      </w:r>
    </w:p>
    <w:p>
      <w:pPr>
        <w:tabs>
          <w:tab w:val="right" w:pos="9070" w:leader="dot"/>
        </w:tabs>
        <w:spacing w:after="20"/>
        <w:ind w:left="400"/>
      </w:pPr>
      <w:r>
        <w:rPr>
          <w:rFonts w:ascii="Calibri" w:cs="Calibri" w:eastAsia="Calibri" w:hAnsi="Calibri"/>
          <w:b w:val="false"/>
          <w:bCs w:val="false"/>
          <w:color w:val="444444"/>
          <w:sz w:val="19"/>
          <w:szCs w:val="19"/>
        </w:rPr>
        <w:t xml:space="preserve">10.5. Ficha de indicador</w:t>
      </w:r>
      <w:r>
        <w:rPr>
          <w:rFonts w:ascii="Calibri" w:cs="Calibri" w:eastAsia="Calibri" w:hAnsi="Calibri"/>
          <w:color w:val="444444"/>
          <w:sz w:val="19"/>
          <w:szCs w:val="19"/>
        </w:rPr>
        <w:t xml:space="preserve">	52</w:t>
      </w:r>
    </w:p>
    <w:p>
      <w:pPr>
        <w:tabs>
          <w:tab w:val="right" w:pos="9070" w:leader="dot"/>
        </w:tabs>
        <w:spacing w:after="60"/>
        <w:ind w:left="0"/>
      </w:pPr>
      <w:r>
        <w:rPr>
          <w:rFonts w:ascii="Calibri" w:cs="Calibri" w:eastAsia="Calibri" w:hAnsi="Calibri"/>
          <w:b/>
          <w:bCs/>
          <w:color w:val="00768E"/>
          <w:sz w:val="21"/>
          <w:szCs w:val="21"/>
        </w:rPr>
        <w:t xml:space="preserve">11. Plan de implantación y gestión de riesgos</w:t>
      </w:r>
      <w:r>
        <w:rPr>
          <w:rFonts w:ascii="Calibri" w:cs="Calibri" w:eastAsia="Calibri" w:hAnsi="Calibri"/>
          <w:color w:val="444444"/>
          <w:sz w:val="21"/>
          <w:szCs w:val="21"/>
        </w:rPr>
        <w:t xml:space="preserve">	54</w:t>
      </w:r>
    </w:p>
    <w:p>
      <w:pPr>
        <w:tabs>
          <w:tab w:val="right" w:pos="9070" w:leader="dot"/>
        </w:tabs>
        <w:spacing w:after="20"/>
        <w:ind w:left="400"/>
      </w:pPr>
      <w:r>
        <w:rPr>
          <w:rFonts w:ascii="Calibri" w:cs="Calibri" w:eastAsia="Calibri" w:hAnsi="Calibri"/>
          <w:b w:val="false"/>
          <w:bCs w:val="false"/>
          <w:color w:val="444444"/>
          <w:sz w:val="19"/>
          <w:szCs w:val="19"/>
        </w:rPr>
        <w:t xml:space="preserve">11.1. Fases e hitos</w:t>
      </w:r>
      <w:r>
        <w:rPr>
          <w:rFonts w:ascii="Calibri" w:cs="Calibri" w:eastAsia="Calibri" w:hAnsi="Calibri"/>
          <w:color w:val="444444"/>
          <w:sz w:val="19"/>
          <w:szCs w:val="19"/>
        </w:rPr>
        <w:t xml:space="preserve">	54</w:t>
      </w:r>
    </w:p>
    <w:p>
      <w:pPr>
        <w:tabs>
          <w:tab w:val="right" w:pos="9070" w:leader="dot"/>
        </w:tabs>
        <w:spacing w:after="20"/>
        <w:ind w:left="400"/>
      </w:pPr>
      <w:r>
        <w:rPr>
          <w:rFonts w:ascii="Calibri" w:cs="Calibri" w:eastAsia="Calibri" w:hAnsi="Calibri"/>
          <w:b w:val="false"/>
          <w:bCs w:val="false"/>
          <w:color w:val="444444"/>
          <w:sz w:val="19"/>
          <w:szCs w:val="19"/>
        </w:rPr>
        <w:t xml:space="preserve">11.2. Sistemas de información</w:t>
      </w:r>
      <w:r>
        <w:rPr>
          <w:rFonts w:ascii="Calibri" w:cs="Calibri" w:eastAsia="Calibri" w:hAnsi="Calibri"/>
          <w:color w:val="444444"/>
          <w:sz w:val="19"/>
          <w:szCs w:val="19"/>
        </w:rPr>
        <w:t xml:space="preserve">	54</w:t>
      </w:r>
    </w:p>
    <w:p>
      <w:pPr>
        <w:tabs>
          <w:tab w:val="right" w:pos="9070" w:leader="dot"/>
        </w:tabs>
        <w:spacing w:after="20"/>
        <w:ind w:left="400"/>
      </w:pPr>
      <w:r>
        <w:rPr>
          <w:rFonts w:ascii="Calibri" w:cs="Calibri" w:eastAsia="Calibri" w:hAnsi="Calibri"/>
          <w:b w:val="false"/>
          <w:bCs w:val="false"/>
          <w:color w:val="444444"/>
          <w:sz w:val="19"/>
          <w:szCs w:val="19"/>
        </w:rPr>
        <w:t xml:space="preserve">11.3. Formación</w:t>
      </w:r>
      <w:r>
        <w:rPr>
          <w:rFonts w:ascii="Calibri" w:cs="Calibri" w:eastAsia="Calibri" w:hAnsi="Calibri"/>
          <w:color w:val="444444"/>
          <w:sz w:val="19"/>
          <w:szCs w:val="19"/>
        </w:rPr>
        <w:t xml:space="preserve">	55</w:t>
      </w:r>
    </w:p>
    <w:p>
      <w:pPr>
        <w:tabs>
          <w:tab w:val="right" w:pos="9070" w:leader="dot"/>
        </w:tabs>
        <w:spacing w:after="20"/>
        <w:ind w:left="400"/>
      </w:pPr>
      <w:r>
        <w:rPr>
          <w:rFonts w:ascii="Calibri" w:cs="Calibri" w:eastAsia="Calibri" w:hAnsi="Calibri"/>
          <w:b w:val="false"/>
          <w:bCs w:val="false"/>
          <w:color w:val="444444"/>
          <w:sz w:val="19"/>
          <w:szCs w:val="19"/>
        </w:rPr>
        <w:t xml:space="preserve">11.4. Gobernanza</w:t>
      </w:r>
      <w:r>
        <w:rPr>
          <w:rFonts w:ascii="Calibri" w:cs="Calibri" w:eastAsia="Calibri" w:hAnsi="Calibri"/>
          <w:color w:val="444444"/>
          <w:sz w:val="19"/>
          <w:szCs w:val="19"/>
        </w:rPr>
        <w:t xml:space="preserve">	55</w:t>
      </w:r>
    </w:p>
    <w:p>
      <w:pPr>
        <w:tabs>
          <w:tab w:val="right" w:pos="9070" w:leader="dot"/>
        </w:tabs>
        <w:spacing w:after="20"/>
        <w:ind w:left="400"/>
      </w:pPr>
      <w:r>
        <w:rPr>
          <w:rFonts w:ascii="Calibri" w:cs="Calibri" w:eastAsia="Calibri" w:hAnsi="Calibri"/>
          <w:b w:val="false"/>
          <w:bCs w:val="false"/>
          <w:color w:val="444444"/>
          <w:sz w:val="19"/>
          <w:szCs w:val="19"/>
        </w:rPr>
        <w:t xml:space="preserve">11.5. Riesgos y mitigación</w:t>
      </w:r>
      <w:r>
        <w:rPr>
          <w:rFonts w:ascii="Calibri" w:cs="Calibri" w:eastAsia="Calibri" w:hAnsi="Calibri"/>
          <w:color w:val="444444"/>
          <w:sz w:val="19"/>
          <w:szCs w:val="19"/>
        </w:rPr>
        <w:t xml:space="preserve">	56</w:t>
      </w:r>
    </w:p>
    <w:p>
      <w:pPr>
        <w:tabs>
          <w:tab w:val="right" w:pos="9070" w:leader="dot"/>
        </w:tabs>
        <w:spacing w:after="60"/>
        <w:ind w:left="0"/>
      </w:pPr>
      <w:r>
        <w:rPr>
          <w:rFonts w:ascii="Calibri" w:cs="Calibri" w:eastAsia="Calibri" w:hAnsi="Calibri"/>
          <w:b/>
          <w:bCs/>
          <w:color w:val="00768E"/>
          <w:sz w:val="21"/>
          <w:szCs w:val="21"/>
        </w:rPr>
        <w:t xml:space="preserve">12. Propuesta de texto para el documento ministerial</w:t>
      </w:r>
      <w:r>
        <w:rPr>
          <w:rFonts w:ascii="Calibri" w:cs="Calibri" w:eastAsia="Calibri" w:hAnsi="Calibri"/>
          <w:color w:val="444444"/>
          <w:sz w:val="21"/>
          <w:szCs w:val="21"/>
        </w:rPr>
        <w:t xml:space="preserve">	57</w:t>
      </w:r>
    </w:p>
    <w:p>
      <w:pPr>
        <w:tabs>
          <w:tab w:val="right" w:pos="9070" w:leader="dot"/>
        </w:tabs>
        <w:spacing w:after="60"/>
        <w:ind w:left="0"/>
      </w:pPr>
      <w:r>
        <w:rPr>
          <w:rFonts w:ascii="Calibri" w:cs="Calibri" w:eastAsia="Calibri" w:hAnsi="Calibri"/>
          <w:b/>
          <w:bCs/>
          <w:color w:val="00768E"/>
          <w:sz w:val="21"/>
          <w:szCs w:val="21"/>
        </w:rPr>
        <w:t xml:space="preserve">Anexo A. Fichas de programas grupales y comunitarios</w:t>
      </w:r>
      <w:r>
        <w:rPr>
          <w:rFonts w:ascii="Calibri" w:cs="Calibri" w:eastAsia="Calibri" w:hAnsi="Calibri"/>
          <w:color w:val="444444"/>
          <w:sz w:val="21"/>
          <w:szCs w:val="21"/>
        </w:rPr>
        <w:t xml:space="preserve">	59</w:t>
      </w:r>
    </w:p>
    <w:p>
      <w:pPr>
        <w:tabs>
          <w:tab w:val="right" w:pos="9070" w:leader="dot"/>
        </w:tabs>
        <w:spacing w:after="60"/>
        <w:ind w:left="0"/>
      </w:pPr>
      <w:r>
        <w:rPr>
          <w:rFonts w:ascii="Calibri" w:cs="Calibri" w:eastAsia="Calibri" w:hAnsi="Calibri"/>
          <w:b/>
          <w:bCs/>
          <w:color w:val="00768E"/>
          <w:sz w:val="21"/>
          <w:szCs w:val="21"/>
        </w:rPr>
        <w:t xml:space="preserve">Anexo B. Fichas de indicadores</w:t>
      </w:r>
      <w:r>
        <w:rPr>
          <w:rFonts w:ascii="Calibri" w:cs="Calibri" w:eastAsia="Calibri" w:hAnsi="Calibri"/>
          <w:color w:val="444444"/>
          <w:sz w:val="21"/>
          <w:szCs w:val="21"/>
        </w:rPr>
        <w:t xml:space="preserve">	63</w:t>
      </w:r>
    </w:p>
    <w:p>
      <w:pPr>
        <w:tabs>
          <w:tab w:val="right" w:pos="9070" w:leader="dot"/>
        </w:tabs>
        <w:spacing w:after="60"/>
        <w:ind w:left="0"/>
      </w:pPr>
      <w:r>
        <w:rPr>
          <w:rFonts w:ascii="Calibri" w:cs="Calibri" w:eastAsia="Calibri" w:hAnsi="Calibri"/>
          <w:b/>
          <w:bCs/>
          <w:color w:val="00768E"/>
          <w:sz w:val="21"/>
          <w:szCs w:val="21"/>
        </w:rPr>
        <w:t xml:space="preserve">Anexo C. Matriz de coherencia de procesos, vías y condiciones</w:t>
      </w:r>
      <w:r>
        <w:rPr>
          <w:rFonts w:ascii="Calibri" w:cs="Calibri" w:eastAsia="Calibri" w:hAnsi="Calibri"/>
          <w:color w:val="444444"/>
          <w:sz w:val="21"/>
          <w:szCs w:val="21"/>
        </w:rPr>
        <w:t xml:space="preserve">	72</w:t>
      </w:r>
    </w:p>
    <w:p>
      <w:pPr>
        <w:tabs>
          <w:tab w:val="right" w:pos="9070" w:leader="dot"/>
        </w:tabs>
        <w:spacing w:after="60"/>
        <w:ind w:left="0"/>
      </w:pPr>
      <w:r>
        <w:rPr>
          <w:rFonts w:ascii="Calibri" w:cs="Calibri" w:eastAsia="Calibri" w:hAnsi="Calibri"/>
          <w:b/>
          <w:bCs/>
          <w:color w:val="00768E"/>
          <w:sz w:val="21"/>
          <w:szCs w:val="21"/>
        </w:rPr>
        <w:t xml:space="preserve">Anexo D. Glosario y terminología normalizada</w:t>
      </w:r>
      <w:r>
        <w:rPr>
          <w:rFonts w:ascii="Calibri" w:cs="Calibri" w:eastAsia="Calibri" w:hAnsi="Calibri"/>
          <w:color w:val="444444"/>
          <w:sz w:val="21"/>
          <w:szCs w:val="21"/>
        </w:rPr>
        <w:t xml:space="preserve">	75</w:t>
      </w:r>
    </w:p>
    <w:p>
      <w:pPr>
        <w:tabs>
          <w:tab w:val="right" w:pos="9070" w:leader="dot"/>
        </w:tabs>
        <w:spacing w:after="60"/>
        <w:ind w:left="0"/>
      </w:pPr>
      <w:r>
        <w:rPr>
          <w:rFonts w:ascii="Calibri" w:cs="Calibri" w:eastAsia="Calibri" w:hAnsi="Calibri"/>
          <w:b/>
          <w:bCs/>
          <w:color w:val="00768E"/>
          <w:sz w:val="21"/>
          <w:szCs w:val="21"/>
        </w:rPr>
        <w:t xml:space="preserve">Anexo E. Tabla de fuentes por cifra</w:t>
      </w:r>
      <w:r>
        <w:rPr>
          <w:rFonts w:ascii="Calibri" w:cs="Calibri" w:eastAsia="Calibri" w:hAnsi="Calibri"/>
          <w:color w:val="444444"/>
          <w:sz w:val="21"/>
          <w:szCs w:val="21"/>
        </w:rPr>
        <w:t xml:space="preserve">	77</w:t>
      </w:r>
    </w:p>
    <w:p>
      <w:pPr>
        <w:tabs>
          <w:tab w:val="right" w:pos="9070" w:leader="dot"/>
        </w:tabs>
        <w:spacing w:after="60"/>
        <w:ind w:left="0"/>
      </w:pPr>
      <w:r>
        <w:rPr>
          <w:rFonts w:ascii="Calibri" w:cs="Calibri" w:eastAsia="Calibri" w:hAnsi="Calibri"/>
          <w:b/>
          <w:bCs/>
          <w:color w:val="00768E"/>
          <w:sz w:val="21"/>
          <w:szCs w:val="21"/>
        </w:rPr>
        <w:t xml:space="preserve">Anexo F. Metodología de selección y verificación de fuentes</w:t>
      </w:r>
      <w:r>
        <w:rPr>
          <w:rFonts w:ascii="Calibri" w:cs="Calibri" w:eastAsia="Calibri" w:hAnsi="Calibri"/>
          <w:color w:val="444444"/>
          <w:sz w:val="21"/>
          <w:szCs w:val="21"/>
        </w:rPr>
        <w:t xml:space="preserve">	84</w:t>
      </w:r>
    </w:p>
    <w:p>
      <w:pPr>
        <w:tabs>
          <w:tab w:val="right" w:pos="9070" w:leader="dot"/>
        </w:tabs>
        <w:spacing w:after="20"/>
        <w:ind w:left="400"/>
      </w:pPr>
      <w:r>
        <w:rPr>
          <w:rFonts w:ascii="Calibri" w:cs="Calibri" w:eastAsia="Calibri" w:hAnsi="Calibri"/>
          <w:b w:val="false"/>
          <w:bCs w:val="false"/>
          <w:color w:val="444444"/>
          <w:sz w:val="19"/>
          <w:szCs w:val="19"/>
        </w:rPr>
        <w:t xml:space="preserve">F.1. Criterios</w:t>
      </w:r>
      <w:r>
        <w:rPr>
          <w:rFonts w:ascii="Calibri" w:cs="Calibri" w:eastAsia="Calibri" w:hAnsi="Calibri"/>
          <w:color w:val="444444"/>
          <w:sz w:val="19"/>
          <w:szCs w:val="19"/>
        </w:rPr>
        <w:t xml:space="preserve">	84</w:t>
      </w:r>
    </w:p>
    <w:p>
      <w:pPr>
        <w:tabs>
          <w:tab w:val="right" w:pos="9070" w:leader="dot"/>
        </w:tabs>
        <w:spacing w:after="20"/>
        <w:ind w:left="400"/>
      </w:pPr>
      <w:r>
        <w:rPr>
          <w:rFonts w:ascii="Calibri" w:cs="Calibri" w:eastAsia="Calibri" w:hAnsi="Calibri"/>
          <w:b w:val="false"/>
          <w:bCs w:val="false"/>
          <w:color w:val="444444"/>
          <w:sz w:val="19"/>
          <w:szCs w:val="19"/>
        </w:rPr>
        <w:t xml:space="preserve">F.2. Procedimiento de verificación</w:t>
      </w:r>
      <w:r>
        <w:rPr>
          <w:rFonts w:ascii="Calibri" w:cs="Calibri" w:eastAsia="Calibri" w:hAnsi="Calibri"/>
          <w:color w:val="444444"/>
          <w:sz w:val="19"/>
          <w:szCs w:val="19"/>
        </w:rPr>
        <w:t xml:space="preserve">	84</w:t>
      </w:r>
    </w:p>
    <w:p>
      <w:pPr>
        <w:tabs>
          <w:tab w:val="right" w:pos="9070" w:leader="dot"/>
        </w:tabs>
        <w:spacing w:after="60"/>
        <w:ind w:left="0"/>
      </w:pPr>
      <w:r>
        <w:rPr>
          <w:rFonts w:ascii="Calibri" w:cs="Calibri" w:eastAsia="Calibri" w:hAnsi="Calibri"/>
          <w:b/>
          <w:bCs/>
          <w:color w:val="00768E"/>
          <w:sz w:val="21"/>
          <w:szCs w:val="21"/>
        </w:rPr>
        <w:t xml:space="preserve">Referencias</w:t>
      </w:r>
      <w:r>
        <w:rPr>
          <w:rFonts w:ascii="Calibri" w:cs="Calibri" w:eastAsia="Calibri" w:hAnsi="Calibri"/>
          <w:color w:val="444444"/>
          <w:sz w:val="21"/>
          <w:szCs w:val="21"/>
        </w:rPr>
        <w:t xml:space="preserve">	84</w:t>
      </w:r>
    </w:p>
    <w:p>
      <w:pPr>
        <w:pStyle w:val="Heading1"/>
        <w:pageBreakBefore/>
      </w:pPr>
      <w:r>
        <w:rPr>
          <w:rFonts w:ascii="Calibri" w:cs="Calibri" w:eastAsia="Calibri" w:hAnsi="Calibri"/>
        </w:rPr>
        <w:t xml:space="preserve">Resumen ejecutivo</w:t>
      </w:r>
    </w:p>
    <w:p>
      <w:pPr>
        <w:spacing w:after="140"/>
        <w:jc w:val="both"/>
      </w:pPr>
      <w:r>
        <w:rPr>
          <w:rFonts w:ascii="Calibri" w:cs="Calibri" w:eastAsia="Calibri" w:hAnsi="Calibri"/>
        </w:rPr>
        <w:t xml:space="preserve">La fisioterapia de atención primaria es un recurso del primer nivel asistencial, ya previsto en la cartera común de servicios del Sistema Nacional de Salud. Su despliegue es desigual entre comunidades autónomas. Un modelo homogéneo puede resolver en atención primaria una parte importante de los procesos musculoesqueléticos de alta prevalencia. Ese modelo combina consulta propia, acceso por varias vías, criterios clínicos de seguridad aplicados por el propio fisioterapeuta, dotación planificada por demanda e indicadores comunes. Además, reduce las derivaciones duplicadas y mejora la equidad territorial.</w:t>
      </w:r>
    </w:p>
    <w:p>
      <w:pPr>
        <w:pStyle w:val="Heading2"/>
      </w:pPr>
      <w:r>
        <w:rPr>
          <w:rFonts w:ascii="Calibri" w:cs="Calibri" w:eastAsia="Calibri" w:hAnsi="Calibri"/>
        </w:rPr>
        <w:t xml:space="preserve">Peticiones al Ministerio de Sanidad</w:t>
      </w:r>
    </w:p>
    <w:p>
      <w:pPr>
        <w:spacing w:after="140"/>
        <w:jc w:val="both"/>
      </w:pPr>
      <w:r>
        <w:rPr>
          <w:rFonts w:ascii="Calibri" w:cs="Calibri" w:eastAsia="Calibri" w:hAnsi="Calibri"/>
        </w:rPr>
        <w:t xml:space="preserve">Este documento formula seis peticiones:</w:t>
      </w:r>
    </w:p>
    <w:p>
      <w:pPr>
        <w:pStyle w:val="ListParagraph"/>
        <w:numPr>
          <w:ilvl w:val="0"/>
          <w:numId w:val="2"/>
        </w:numPr>
        <w:spacing w:after="60"/>
      </w:pPr>
      <w:r>
        <w:rPr>
          <w:rFonts w:ascii="Calibri" w:cs="Calibri" w:eastAsia="Calibri" w:hAnsi="Calibri"/>
          <w:b/>
          <w:bCs/>
          <w:color w:val="00768E"/>
        </w:rPr>
        <w:t xml:space="preserve">Modelo organizativo homogéneo.</w:t>
      </w:r>
      <w:r>
        <w:rPr>
          <w:rFonts w:ascii="Calibri" w:cs="Calibri" w:eastAsia="Calibri" w:hAnsi="Calibri"/>
        </w:rPr>
        <w:t xml:space="preserve"> Que el fisioterapeuta se integre en el equipo de atención primaria de cada zona básica de salud, con consulta propia, agenda propia y tiempo protegido. Que el plan de intervención priorice la educación y el ejercicio terapéutico, y que cada gerencia cuente con una coordinación de fisioterapia.</w:t>
      </w:r>
    </w:p>
    <w:p>
      <w:pPr>
        <w:pStyle w:val="ListParagraph"/>
        <w:numPr>
          <w:ilvl w:val="0"/>
          <w:numId w:val="2"/>
        </w:numPr>
        <w:spacing w:after="60"/>
      </w:pPr>
      <w:r>
        <w:rPr>
          <w:rFonts w:ascii="Calibri" w:cs="Calibri" w:eastAsia="Calibri" w:hAnsi="Calibri"/>
          <w:b/>
          <w:bCs/>
          <w:color w:val="00768E"/>
        </w:rPr>
        <w:t xml:space="preserve">Vías de acceso con autorreferencia regulada.</w:t>
      </w:r>
      <w:r>
        <w:rPr>
          <w:rFonts w:ascii="Calibri" w:cs="Calibri" w:eastAsia="Calibri" w:hAnsi="Calibri"/>
        </w:rPr>
        <w:t xml:space="preserve"> Que la persona pueda pedir cita sin derivación para procesos protocolizados, cuando los fisioterapeutas de su zona básica hayan acreditado la formación en cribado clínico. Que el Consejo Interterritorial impulse la actualización de la cartera común para recoger esa vía, que hoy exige indicación médica.</w:t>
      </w:r>
    </w:p>
    <w:p>
      <w:pPr>
        <w:pStyle w:val="ListParagraph"/>
        <w:numPr>
          <w:ilvl w:val="0"/>
          <w:numId w:val="2"/>
        </w:numPr>
        <w:spacing w:after="60"/>
      </w:pPr>
      <w:r>
        <w:rPr>
          <w:rFonts w:ascii="Calibri" w:cs="Calibri" w:eastAsia="Calibri" w:hAnsi="Calibri"/>
          <w:b/>
          <w:bCs/>
          <w:color w:val="00768E"/>
        </w:rPr>
        <w:t xml:space="preserve">Competencias.</w:t>
      </w:r>
      <w:r>
        <w:rPr>
          <w:rFonts w:ascii="Calibri" w:cs="Calibri" w:eastAsia="Calibri" w:hAnsi="Calibri"/>
        </w:rPr>
        <w:t xml:space="preserve"> Que se reconozca la ecografía como apoyo a la valoración. Que se inicie el desarrollo normativo para que el fisioterapeuta de atención primaria pueda solicitar radiografía simple en procesos protocolizados. Que la prescripción de fisioterapia se incorpore cuando se aprueben la ley de medicamentos en tramitación y su reglamento.</w:t>
      </w:r>
    </w:p>
    <w:p>
      <w:pPr>
        <w:pStyle w:val="ListParagraph"/>
        <w:numPr>
          <w:ilvl w:val="0"/>
          <w:numId w:val="2"/>
        </w:numPr>
        <w:spacing w:after="60"/>
      </w:pPr>
      <w:r>
        <w:rPr>
          <w:rFonts w:ascii="Calibri" w:cs="Calibri" w:eastAsia="Calibri" w:hAnsi="Calibri"/>
          <w:b/>
          <w:bCs/>
          <w:color w:val="00768E"/>
        </w:rPr>
        <w:t xml:space="preserve">Dotación calculada por demanda.</w:t>
      </w:r>
      <w:r>
        <w:rPr>
          <w:rFonts w:ascii="Calibri" w:cs="Calibri" w:eastAsia="Calibri" w:hAnsi="Calibri"/>
        </w:rPr>
        <w:t xml:space="preserve"> Que la dotación salga de un modelo común con parámetros explícitos, se exprese en equivalentes a tiempo completo y se despliegue en tres fases.</w:t>
      </w:r>
    </w:p>
    <w:p>
      <w:pPr>
        <w:pStyle w:val="ListParagraph"/>
        <w:numPr>
          <w:ilvl w:val="0"/>
          <w:numId w:val="2"/>
        </w:numPr>
        <w:spacing w:after="60"/>
      </w:pPr>
      <w:r>
        <w:rPr>
          <w:rFonts w:ascii="Calibri" w:cs="Calibri" w:eastAsia="Calibri" w:hAnsi="Calibri"/>
          <w:b/>
          <w:bCs/>
          <w:color w:val="00768E"/>
        </w:rPr>
        <w:t xml:space="preserve">Indicadores comunes.</w:t>
      </w:r>
      <w:r>
        <w:rPr>
          <w:rFonts w:ascii="Calibri" w:cs="Calibri" w:eastAsia="Calibri" w:hAnsi="Calibri"/>
        </w:rPr>
        <w:t xml:space="preserve"> Que los servicios de salud registren en el Sistema de Información de Atención Primaria un conjunto común de indicadores con formato EFQM, que incluya la seguridad clínica y la equidad.</w:t>
      </w:r>
    </w:p>
    <w:p>
      <w:pPr>
        <w:pStyle w:val="ListParagraph"/>
        <w:numPr>
          <w:ilvl w:val="0"/>
          <w:numId w:val="2"/>
        </w:numPr>
        <w:spacing w:after="60"/>
      </w:pPr>
      <w:r>
        <w:rPr>
          <w:rFonts w:ascii="Calibri" w:cs="Calibri" w:eastAsia="Calibri" w:hAnsi="Calibri"/>
          <w:b/>
          <w:bCs/>
          <w:color w:val="00768E"/>
        </w:rPr>
        <w:t xml:space="preserve">Grupo de trabajo del Consejo Interterritorial.</w:t>
      </w:r>
      <w:r>
        <w:rPr>
          <w:rFonts w:ascii="Calibri" w:cs="Calibri" w:eastAsia="Calibri" w:hAnsi="Calibri"/>
        </w:rPr>
        <w:t xml:space="preserve"> Que un grupo de trabajo coordine el despliegue, apruebe la matriz común de procesos y fije los estándares. Que una coordinación de fisioterapia en cada gerencia o área aplique esas decisiones en su territorio.</w:t>
      </w:r>
    </w:p>
    <w:p>
      <w:pPr>
        <w:pStyle w:val="Heading2"/>
      </w:pPr>
      <w:r>
        <w:rPr>
          <w:rFonts w:ascii="Calibri" w:cs="Calibri" w:eastAsia="Calibri" w:hAnsi="Calibri"/>
        </w:rPr>
        <w:t xml:space="preserve">Fases de dotación</w:t>
      </w:r>
    </w:p>
    <w:p>
      <w:pPr>
        <w:keepNext/>
        <w:spacing w:after="80" w:before="200"/>
      </w:pPr>
      <w:r>
        <w:rPr>
          <w:rFonts w:ascii="Calibri" w:cs="Calibri" w:eastAsia="Calibri" w:hAnsi="Calibri"/>
          <w:b/>
          <w:bCs/>
          <w:color w:val="0096B1"/>
          <w:sz w:val="19"/>
          <w:szCs w:val="19"/>
        </w:rPr>
        <w:t xml:space="preserve">Tabla R.1. Fases de dotación que propone este documento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1883"/>
        <w:gridCol w:w="5808"/>
      </w:tblGrid>
      <w:tr>
        <w:trPr>
          <w:cantSplit/>
          <w:tblHeader/>
        </w:trPr>
        <w:tc>
          <w:tcPr>
            <w:tcW w:type="dxa" w:w="13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8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58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Dotación</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Implantación</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 1 fisioterapeuta por cada 23.900 habitantes</w:t>
            </w:r>
          </w:p>
        </w:tc>
      </w:tr>
      <w:tr>
        <w:trPr>
          <w:cantSplit/>
          <w:tblHeader w:val="false"/>
        </w:trPr>
        <w:tc>
          <w:tcPr>
            <w:tcW w:type="dxa" w:w="13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Consolidación</w:t>
            </w:r>
          </w:p>
        </w:tc>
        <w:tc>
          <w:tcPr>
            <w:tcW w:type="dxa" w:w="18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58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fisioterapeuta por cada 7.500 habitantes</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Necesidad especial</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Hasta 1 fisioterapeuta por cada 4.400 habitantes en zonas rurales, envejecidas y con alta dependencia</w:t>
            </w:r>
          </w:p>
        </w:tc>
      </w:tr>
    </w:tbl>
    <w:p>
      <w:pPr>
        <w:spacing w:after="200" w:before="60"/>
      </w:pPr>
      <w:r>
        <w:rPr>
          <w:rFonts w:ascii="Calibri" w:cs="Calibri" w:eastAsia="Calibri" w:hAnsi="Calibri"/>
          <w:i/>
          <w:iCs/>
          <w:color w:val="8C8C8C"/>
          <w:sz w:val="17"/>
          <w:szCs w:val="17"/>
        </w:rPr>
        <w:t xml:space="preserve">Fuente: modelo de demanda de la sección 9 y tabla 9.4. Las cifras son referencias de planificación en equivalentes a tiempo completo.</w:t>
      </w:r>
    </w:p>
    <w:p>
      <w:pPr>
        <w:pStyle w:val="Heading2"/>
      </w:pPr>
      <w:r>
        <w:rPr>
          <w:rFonts w:ascii="Calibri" w:cs="Calibri" w:eastAsia="Calibri" w:hAnsi="Calibri"/>
        </w:rPr>
        <w:t xml:space="preserve">Evidencia y experiencia en las que se apoya</w:t>
      </w:r>
    </w:p>
    <w:p>
      <w:pPr>
        <w:pStyle w:val="ListParagraph"/>
        <w:numPr>
          <w:ilvl w:val="0"/>
          <w:numId w:val="3"/>
        </w:numPr>
        <w:spacing w:after="60"/>
      </w:pPr>
      <w:r>
        <w:rPr>
          <w:rFonts w:ascii="Calibri" w:cs="Calibri" w:eastAsia="Calibri" w:hAnsi="Calibri"/>
          <w:b/>
          <w:bCs/>
          <w:color w:val="00768E"/>
        </w:rPr>
        <w:t xml:space="preserve">Experiencia española.</w:t>
      </w:r>
      <w:r>
        <w:rPr>
          <w:rFonts w:ascii="Calibri" w:cs="Calibri" w:eastAsia="Calibri" w:hAnsi="Calibri"/>
        </w:rPr>
        <w:t xml:space="preserve"> Madrid ya cita directamente con fisioterapia tres procesos, mediante una instrucción de su Gerencia Asistencial de AP con criterios escritos de inclusión y de exclusión. Galicia incorporó la fisioterapia a su protocolo de gestión de la demanda.</w:t>
      </w:r>
    </w:p>
    <w:p>
      <w:pPr>
        <w:pStyle w:val="ListParagraph"/>
        <w:numPr>
          <w:ilvl w:val="0"/>
          <w:numId w:val="3"/>
        </w:numPr>
        <w:spacing w:after="60"/>
      </w:pPr>
      <w:r>
        <w:rPr>
          <w:rFonts w:ascii="Calibri" w:cs="Calibri" w:eastAsia="Calibri" w:hAnsi="Calibri"/>
          <w:b/>
          <w:bCs/>
          <w:color w:val="00768E"/>
        </w:rPr>
        <w:t xml:space="preserve">Seguridad y uso de recursos.</w:t>
      </w:r>
      <w:r>
        <w:rPr>
          <w:rFonts w:ascii="Calibri" w:cs="Calibri" w:eastAsia="Calibri" w:hAnsi="Calibri"/>
        </w:rPr>
        <w:t xml:space="preserve"> Las revisiones internacionales no encuentran daños atribuibles al acceso directo, y sí menos pruebas de imagen y menos medicación. La certeza de esa evidencia es todavía baja en la mayoría de los estudios.</w:t>
      </w:r>
    </w:p>
    <w:p>
      <w:pPr>
        <w:pStyle w:val="ListParagraph"/>
        <w:numPr>
          <w:ilvl w:val="0"/>
          <w:numId w:val="3"/>
        </w:numPr>
        <w:spacing w:after="60"/>
      </w:pPr>
      <w:r>
        <w:rPr>
          <w:rFonts w:ascii="Calibri" w:cs="Calibri" w:eastAsia="Calibri" w:hAnsi="Calibri"/>
          <w:b/>
          <w:bCs/>
          <w:color w:val="00768E"/>
        </w:rPr>
        <w:t xml:space="preserve">Momento del acceso.</w:t>
      </w:r>
      <w:r>
        <w:rPr>
          <w:rFonts w:ascii="Calibri" w:cs="Calibri" w:eastAsia="Calibri" w:hAnsi="Calibri"/>
        </w:rPr>
        <w:t xml:space="preserve"> La fisioterapia precoz se asocia a menos uso posterior de servicios y a un coste menor, aunque la evidencia procede de otros sistemas sanitarios.</w:t>
      </w:r>
    </w:p>
    <w:p>
      <w:pPr>
        <w:pStyle w:val="ListParagraph"/>
        <w:numPr>
          <w:ilvl w:val="0"/>
          <w:numId w:val="3"/>
        </w:numPr>
        <w:spacing w:after="60"/>
      </w:pPr>
      <w:r>
        <w:rPr>
          <w:rFonts w:ascii="Calibri" w:cs="Calibri" w:eastAsia="Calibri" w:hAnsi="Calibri"/>
          <w:b/>
          <w:bCs/>
          <w:color w:val="00768E"/>
        </w:rPr>
        <w:t xml:space="preserve">Procesos concretos.</w:t>
      </w:r>
      <w:r>
        <w:rPr>
          <w:rFonts w:ascii="Calibri" w:cs="Calibri" w:eastAsia="Calibri" w:hAnsi="Calibri"/>
        </w:rPr>
        <w:t xml:space="preserve"> En el hombro doloroso, los ensayos con seguimientos de hasta diez años no encuentran ventaja de la cirugía de descompresión sobre el ejercicio. En la epicondilalgia, la fisioterapia supera a la infiltración a medio plazo.</w:t>
      </w:r>
    </w:p>
    <w:p>
      <w:pPr>
        <w:pStyle w:val="ListParagraph"/>
        <w:numPr>
          <w:ilvl w:val="0"/>
          <w:numId w:val="3"/>
        </w:numPr>
        <w:spacing w:after="60"/>
      </w:pPr>
      <w:r>
        <w:rPr>
          <w:rFonts w:ascii="Calibri" w:cs="Calibri" w:eastAsia="Calibri" w:hAnsi="Calibri"/>
          <w:b/>
          <w:bCs/>
          <w:color w:val="00768E"/>
        </w:rPr>
        <w:t xml:space="preserve">Capacidad diagnóstica.</w:t>
      </w:r>
      <w:r>
        <w:rPr>
          <w:rFonts w:ascii="Calibri" w:cs="Calibri" w:eastAsia="Calibri" w:hAnsi="Calibri"/>
        </w:rPr>
        <w:t xml:space="preserve"> Las revisiones sobre práctica avanzada encuentran una concordancia diagnóstica alta entre el fisioterapeuta y el médico.</w:t>
      </w:r>
    </w:p>
    <w:p>
      <w:pPr>
        <w:pStyle w:val="ListParagraph"/>
        <w:numPr>
          <w:ilvl w:val="0"/>
          <w:numId w:val="3"/>
        </w:numPr>
        <w:spacing w:after="60"/>
      </w:pPr>
      <w:r>
        <w:rPr>
          <w:rFonts w:ascii="Calibri" w:cs="Calibri" w:eastAsia="Calibri" w:hAnsi="Calibri"/>
          <w:b/>
          <w:bCs/>
          <w:color w:val="00768E"/>
        </w:rPr>
        <w:t xml:space="preserve">Carencia declarada.</w:t>
      </w:r>
      <w:r>
        <w:rPr>
          <w:rFonts w:ascii="Calibri" w:cs="Calibri" w:eastAsia="Calibri" w:hAnsi="Calibri"/>
        </w:rPr>
        <w:t xml:space="preserve"> Ningún estudio ha evaluado todavía el acceso directo en el SNS. Por eso el despliegue se diseña para medir sus resultados desde el primer día.</w:t>
      </w:r>
    </w:p>
    <w:p>
      <w:pPr>
        <w:pStyle w:val="Heading2"/>
      </w:pPr>
      <w:r>
        <w:rPr>
          <w:rFonts w:ascii="Calibri" w:cs="Calibri" w:eastAsia="Calibri" w:hAnsi="Calibri"/>
        </w:rPr>
        <w:t xml:space="preserve">Lo que este documento no propone</w:t>
      </w:r>
    </w:p>
    <w:p>
      <w:pPr>
        <w:pStyle w:val="ListParagraph"/>
        <w:numPr>
          <w:ilvl w:val="0"/>
          <w:numId w:val="3"/>
        </w:numPr>
        <w:spacing w:after="60"/>
      </w:pPr>
      <w:r>
        <w:rPr>
          <w:rFonts w:ascii="Calibri" w:cs="Calibri" w:eastAsia="Calibri" w:hAnsi="Calibri"/>
        </w:rPr>
        <w:t xml:space="preserve">No propone dimensionar la fisioterapia de atención primaria para absorber la demora de rehabilitación hospitalaria. La relación entre ambos niveles se regula con un circuito de continuidad.</w:t>
      </w:r>
    </w:p>
    <w:p>
      <w:pPr>
        <w:pStyle w:val="ListParagraph"/>
        <w:numPr>
          <w:ilvl w:val="0"/>
          <w:numId w:val="3"/>
        </w:numPr>
        <w:spacing w:after="60"/>
      </w:pPr>
      <w:r>
        <w:rPr>
          <w:rFonts w:ascii="Calibri" w:cs="Calibri" w:eastAsia="Calibri" w:hAnsi="Calibri"/>
        </w:rPr>
        <w:t xml:space="preserve">No propone que el personal no sanitario realice ningún cribado ni triaje. El personal administrativo solo aplica motivos de consulta parametrizados por los clínicos.</w:t>
      </w:r>
    </w:p>
    <w:p>
      <w:pPr>
        <w:pStyle w:val="ListParagraph"/>
        <w:numPr>
          <w:ilvl w:val="0"/>
          <w:numId w:val="3"/>
        </w:numPr>
        <w:spacing w:after="60"/>
      </w:pPr>
      <w:r>
        <w:rPr>
          <w:rFonts w:ascii="Calibri" w:cs="Calibri" w:eastAsia="Calibri" w:hAnsi="Calibri"/>
        </w:rPr>
        <w:t xml:space="preserve">No propone crear especialidades de fisioterapia.</w:t>
      </w:r>
    </w:p>
    <w:p>
      <w:pPr>
        <w:pStyle w:val="ListParagraph"/>
        <w:numPr>
          <w:ilvl w:val="0"/>
          <w:numId w:val="3"/>
        </w:numPr>
        <w:spacing w:after="60"/>
      </w:pPr>
      <w:r>
        <w:rPr>
          <w:rFonts w:ascii="Calibri" w:cs="Calibri" w:eastAsia="Calibri" w:hAnsi="Calibri"/>
        </w:rPr>
        <w:t xml:space="preserve">No pide ejercer la prescripción antes de que se aprueben la ley de medicamentos y su reglamento.</w:t>
      </w:r>
    </w:p>
    <w:p>
      <w:pPr>
        <w:pStyle w:val="ListParagraph"/>
        <w:numPr>
          <w:ilvl w:val="0"/>
          <w:numId w:val="3"/>
        </w:numPr>
        <w:spacing w:after="60"/>
      </w:pPr>
      <w:r>
        <w:rPr>
          <w:rFonts w:ascii="Calibri" w:cs="Calibri" w:eastAsia="Calibri" w:hAnsi="Calibri"/>
        </w:rPr>
        <w:t xml:space="preserve">No pide la solicitud de pruebas de imagen avanzada ni la derivación a atención hospitalaria sin pasar por medicina de familia.</w:t>
      </w:r>
    </w:p>
    <w:p>
      <w:pPr>
        <w:pStyle w:val="Heading2"/>
      </w:pPr>
      <w:r>
        <w:rPr>
          <w:rFonts w:ascii="Calibri" w:cs="Calibri" w:eastAsia="Calibri" w:hAnsi="Calibri"/>
        </w:rPr>
        <w:t xml:space="preserve">Nota de método</w:t>
      </w:r>
    </w:p>
    <w:p>
      <w:pPr>
        <w:spacing w:after="140"/>
        <w:jc w:val="both"/>
      </w:pPr>
      <w:r>
        <w:rPr>
          <w:rFonts w:ascii="Calibri" w:cs="Calibri" w:eastAsia="Calibri" w:hAnsi="Calibri"/>
        </w:rPr>
        <w:t xml:space="preserve">Todas las cifras del cuerpo del documento llevan su fuente y figuran en el anexo E. Las referencias proceden de fuentes primarias, y el anexo F describe cómo se seleccionaron y verificaron. El efecto del acceso directo sobre las consultas de medicina de familia se presenta como un resultado a evaluar y no como un resultado garantizado.</w:t>
      </w:r>
    </w:p>
    <w:p>
      <w:pPr>
        <w:pStyle w:val="Heading1"/>
        <w:pageBreakBefore/>
      </w:pPr>
      <w:r>
        <w:rPr>
          <w:rFonts w:ascii="Calibri" w:cs="Calibri" w:eastAsia="Calibri" w:hAnsi="Calibri"/>
        </w:rPr>
        <w:t xml:space="preserve">1. Introducción y justificación</w:t>
      </w:r>
    </w:p>
    <w:p>
      <w:pPr>
        <w:spacing w:after="140"/>
        <w:jc w:val="both"/>
      </w:pPr>
      <w:r>
        <w:rPr>
          <w:rFonts w:ascii="Calibri" w:cs="Calibri" w:eastAsia="Calibri" w:hAnsi="Calibri"/>
        </w:rPr>
        <w:t xml:space="preserve">Esta sección explica por qué la fisioterapia forma parte del primer nivel asistencial y qué peso tienen los procesos musculoesqueléticos en atención primaria (AP). También expone el coste de derivar tarde o de derivar el mismo proceso a dos servicios. Termina con los datos publicados sobre la capacidad resolutiva de la fisioterapia de AP.</w:t>
      </w:r>
    </w:p>
    <w:p>
      <w:pPr>
        <w:pStyle w:val="Heading2"/>
      </w:pPr>
      <w:r>
        <w:rPr>
          <w:rFonts w:ascii="Calibri" w:cs="Calibri" w:eastAsia="Calibri" w:hAnsi="Calibri"/>
        </w:rPr>
        <w:t xml:space="preserve">1.1. Papel de la fisioterapia en el primer nivel asistencial</w:t>
      </w:r>
    </w:p>
    <w:p>
      <w:pPr>
        <w:spacing w:after="140"/>
        <w:jc w:val="both"/>
      </w:pPr>
      <w:r>
        <w:rPr>
          <w:rFonts w:ascii="Calibri" w:cs="Calibri" w:eastAsia="Calibri" w:hAnsi="Calibri"/>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w:pPr>
        <w:spacing w:after="140"/>
        <w:jc w:val="both"/>
      </w:pPr>
      <w:r>
        <w:rPr>
          <w:rFonts w:ascii="Calibri" w:cs="Calibri" w:eastAsia="Calibri" w:hAnsi="Calibri"/>
        </w:rPr>
        <w:t xml:space="preserve">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w:pPr>
        <w:spacing w:after="140"/>
        <w:jc w:val="both"/>
      </w:pPr>
      <w:r>
        <w:rPr>
          <w:rFonts w:ascii="Calibri" w:cs="Calibri" w:eastAsia="Calibri" w:hAnsi="Calibri"/>
        </w:rPr>
        <w:t xml:space="preserve">La Organización Mundial de la Salud (OMS) sitúa la rehabilitación entre los servicios esenciales de salud [4]. La iniciativa Rehabilitation 2030 pidió integrarla en todos los niveles del sistema, incluida la atención primaria [5]. En 2023, la Asamblea Mundial de la Salud aprobó la resolución WHA76.6 para fortalecer la rehabilitación en los sistemas de salud [6]. La OMS publicó además un paquete de intervenciones de rehabilitación con una selección pensada para la atención primaria [7].</w:t>
      </w:r>
    </w:p>
    <w:p>
      <w:pPr>
        <w:spacing w:after="140"/>
        <w:jc w:val="both"/>
      </w:pPr>
      <w:r>
        <w:rPr>
          <w:rFonts w:ascii="Calibri" w:cs="Calibri" w:eastAsia="Calibri" w:hAnsi="Calibri"/>
        </w:rPr>
        <w:t xml:space="preserve">En España, tres documentos recientes trasladan esa función a la AP. La Sociedade Galega de Fisioterapeutas propuso en 2019 que el fisioterapeuta fuera el profesional de referencia para cribar los procesos musculoesqueléticos de alta prevalencia [8]. Esa función se ejercería dentro del equipo interdisciplinar [8]. La Gerencia Asistencial de AP de Madrid organiza su gestión de la demanda con el criterio de asignar cada demanda al profesional que mejor puede resolverla [9]. Por último, el colegio profesional madrileño defiende que el fisioterapeuta de AP pueda completar los procesos de acceso directo sin una consulta médica intermedia [10].</w:t>
      </w:r>
    </w:p>
    <w:p>
      <w:pPr>
        <w:pStyle w:val="Heading2"/>
      </w:pPr>
      <w:r>
        <w:rPr>
          <w:rFonts w:ascii="Calibri" w:cs="Calibri" w:eastAsia="Calibri" w:hAnsi="Calibri"/>
        </w:rPr>
        <w:t xml:space="preserve">1.2. Carga de los procesos musculoesqueléticos en atención primaria</w:t>
      </w:r>
    </w:p>
    <w:p>
      <w:pPr>
        <w:spacing w:after="140"/>
        <w:jc w:val="both"/>
      </w:pPr>
      <w:r>
        <w:rPr>
          <w:rFonts w:ascii="Calibri" w:cs="Calibri" w:eastAsia="Calibri" w:hAnsi="Calibri"/>
        </w:rPr>
        <w:t xml:space="preserve">La Base de Datos Clínicos de Atención Primaria (BDCAP) registra los problemas de salud atendidos en AP con la clasificación CIAP-2 [11]. En 2023, los problemas del aparato locomotor, capítulo L de esa clasificación, sumaron 51.813.798 registros [11]. Ese volumen solo quedó por detrás del grupo de problemas generales e inespecíficos [11]. El dato cuenta problemas registrados en la historia clínica, no consultas ni personas. Por eso no puede compararse con las cifras de otros países que se describen a continuación.</w:t>
      </w:r>
    </w:p>
    <w:p>
      <w:pPr>
        <w:spacing w:after="140"/>
        <w:jc w:val="both"/>
      </w:pPr>
      <w:r>
        <w:rPr>
          <w:rFonts w:ascii="Calibri" w:cs="Calibri" w:eastAsia="Calibri" w:hAnsi="Calibri"/>
        </w:rPr>
        <w:t xml:space="preserve">En Inglaterra, el Musculoskeletal Services Framework del Department of Health atribuyó a los problemas musculoesqueléticos hasta el 30 % de las consultas de medicina general [12]. NHS England reproduce esa cifra en su página sobre fisioterapia de primer contacto [13]. Se trata de una cifra de un documento de política sanitaria, no de un estudio que la haya medido.</w:t>
      </w:r>
    </w:p>
    <w:p>
      <w:pPr>
        <w:spacing w:after="140"/>
        <w:jc w:val="both"/>
      </w:pPr>
      <w:r>
        <w:rPr>
          <w:rFonts w:ascii="Calibri" w:cs="Calibri" w:eastAsia="Calibri" w:hAnsi="Calibri"/>
        </w:rPr>
        <w:t xml:space="preserve">Los estudios que miden consultas dan cifras menores. Jordan y colaboradores analizaron doce consultas de medicina general inglesas con datos de 2006 [14]. En ese estudio, una de cada siete consultas registradas correspondió a un problema musculoesquelético [14]. El ensayo piloto STEMS estimó que alrededor del 17 % de las consultas de medicina general se deben a estos procesos [15]. Keavy y colaboradores revisaron 545 consultas de un centro urbano y hallaron una proporción del 21,1 % [16].</w:t>
      </w:r>
    </w:p>
    <w:p>
      <w:pPr>
        <w:spacing w:after="140"/>
        <w:jc w:val="both"/>
      </w:pPr>
      <w:r>
        <w:rPr>
          <w:rFonts w:ascii="Calibri" w:cs="Calibri" w:eastAsia="Calibri" w:hAnsi="Calibri"/>
        </w:rPr>
        <w:t xml:space="preserve">La carga es, por tanto, alta con cualquier definición. Sin embargo, el rango empírico se sitúa entre una de cada siete y una de cada cinco consultas [14, 16]. Este documento usa ese rango y no la cifra del 30 % del documento de política, porque el rango procede de mediciones directas [12, 14].</w:t>
      </w:r>
    </w:p>
    <w:p>
      <w:pPr>
        <w:spacing w:after="140"/>
        <w:jc w:val="both"/>
      </w:pPr>
      <w:r>
        <w:rPr>
          <w:rFonts w:ascii="Calibri" w:cs="Calibri" w:eastAsia="Calibri" w:hAnsi="Calibri"/>
        </w:rPr>
        <w:t xml:space="preserve">La carga de estos procesos no se limita al volumen de consultas. El dolor lumbar se ha convertido en la primera causa de discapacidad en el mundo [17]. Los años vividos con discapacidad por esta causa aumentaron un 54 % entre 1990 y 2015 [17]. Una revisión de 165 estudios de 54 países estimó una prevalencia puntual del 11,9 % y una prevalencia al mes del 23,2 % [18]. La misma revisión prevé un aumento sustancial del número de personas afectadas a medida que envejezca la población [18].</w:t>
      </w:r>
    </w:p>
    <w:p>
      <w:pPr>
        <w:spacing w:after="140"/>
        <w:jc w:val="both"/>
      </w:pPr>
      <w:r>
        <w:rPr>
          <w:rFonts w:ascii="Calibri" w:cs="Calibri" w:eastAsia="Calibri" w:hAnsi="Calibri"/>
        </w:rPr>
        <w:t xml:space="preserve">El dolor lumbar tiende además a repetirse. Una cohorte finlandesa siguió durante décadas a trabajadores industriales [19]. Entre el 73 % y el 88 % de quienes tenían dolor lumbar al inicio lo refería de nuevo en los seguimientos posteriores [19]. Los autores concluyen que el dolor lumbar es recurrente con frecuencia [19]. Por eso la matriz del anexo C incluye la recidiva de un proceso ya diagnosticado entre los motivos de autorreferencia.</w:t>
      </w:r>
    </w:p>
    <w:p>
      <w:pPr>
        <w:spacing w:after="140"/>
        <w:jc w:val="both"/>
      </w:pPr>
      <w:r>
        <w:rPr>
          <w:rFonts w:ascii="Calibri" w:cs="Calibri" w:eastAsia="Calibri" w:hAnsi="Calibri"/>
        </w:rPr>
        <w:t xml:space="preserve">El dolor cervical ocupa el cuarto lugar entre las causas de discapacidad, con una prevalencia anual superior al 30 % [20]. La mayoría de los episodios agudos se resuelve, pero cerca del 50 % de las personas mantiene algún grado de dolor o episodios frecuentes [20]. El hombro doloroso completa el grupo de procesos más frecuentes. En el síndrome subacromial, el tratamiento conservador consigue resultados satisfactorios en dos años en el 60 % de los casos, según una revisión narrativa [21].</w:t>
      </w:r>
    </w:p>
    <w:p>
      <w:pPr>
        <w:spacing w:after="140"/>
        <w:jc w:val="both"/>
      </w:pPr>
      <w:r>
        <w:rPr>
          <w:rFonts w:ascii="Calibri" w:cs="Calibri" w:eastAsia="Calibri" w:hAnsi="Calibri"/>
        </w:rPr>
        <w:t xml:space="preserve">El dolor persistente de intensidad moderada o grave afecta al 19 % de la población adulta europea, según una encuesta realizada en quince países europeos e Israel [22]. En esa encuesta, el 21 % de las personas con dolor persistente había utilizado fisioterapia, y solo el 2 % recibía atención de un especialista en dolor [22]. Además, el 40 % consideraba inadecuado el manejo de su dolor [22]. El resumen publicado no desglosa el dato de España.</w:t>
      </w:r>
    </w:p>
    <w:p>
      <w:pPr>
        <w:pStyle w:val="Heading2"/>
      </w:pPr>
      <w:r>
        <w:rPr>
          <w:rFonts w:ascii="Calibri" w:cs="Calibri" w:eastAsia="Calibri" w:hAnsi="Calibri"/>
        </w:rPr>
        <w:t xml:space="preserve">1.3. Incapacidad temporal por procesos musculoesqueléticos</w:t>
      </w:r>
    </w:p>
    <w:p>
      <w:pPr>
        <w:spacing w:after="140"/>
        <w:jc w:val="both"/>
      </w:pPr>
      <w:r>
        <w:rPr>
          <w:rFonts w:ascii="Calibri" w:cs="Calibri" w:eastAsia="Calibri" w:hAnsi="Calibri"/>
        </w:rPr>
        <w:t xml:space="preserve">La estadística de incapacidad temporal de la Seguridad Social ofrece la distribución de los procesos por grupo diagnóstico [23]. Esa estadística es la referencia que debe usar el indicador IR-6 del anexo B.</w:t>
      </w:r>
    </w:p>
    <w:p>
      <w:pPr>
        <w:spacing w:after="140"/>
        <w:jc w:val="both"/>
      </w:pPr>
      <w:r>
        <w:rPr>
          <w:rFonts w:ascii="Calibri" w:cs="Calibri" w:eastAsia="Calibri" w:hAnsi="Calibri"/>
        </w:rPr>
        <w:t xml:space="preserve">Regal-Ramos analizó 60.000 trabajadores valorados por el Instituto Nacional de la Seguridad Social en 2019 por patología osteomuscular [24]. Entre los procesos valorados, la columna lumbar supuso el 31,6 %, el hombro el 13,5 % y la rodilla el 11,9 % [24]. Las tres localizaciones coinciden con procesos que este documento propone atender en AP. Por eso la duración de la incapacidad temporal en esos procesos es un resultado que el modelo debe medir.</w:t>
      </w:r>
    </w:p>
    <w:p>
      <w:pPr>
        <w:spacing w:after="140"/>
        <w:jc w:val="both"/>
      </w:pPr>
      <w:r>
        <w:rPr>
          <w:rFonts w:ascii="Calibri" w:cs="Calibri" w:eastAsia="Calibri" w:hAnsi="Calibri"/>
        </w:rPr>
        <w:t xml:space="preserve">Los costes indirectos dominan el coste total de estos procesos. En los Países Bajos, el coste del dolor lumbar bajó de 4.300 a 3.500 millones de euros entre 2002 y 2007 [25]. Durante todo ese periodo, los costes indirectos supusieron el 88 % del total, y los costes directos el 12 % [25]. La pérdida de productividad pesa, por tanto, mucho más que el gasto asistencial.</w:t>
      </w:r>
    </w:p>
    <w:p>
      <w:pPr>
        <w:spacing w:after="140"/>
        <w:jc w:val="both"/>
      </w:pPr>
      <w:r>
        <w:rPr>
          <w:rFonts w:ascii="Calibri" w:cs="Calibri" w:eastAsia="Calibri" w:hAnsi="Calibri"/>
        </w:rPr>
        <w:t xml:space="preserve">Las políticas de incapacidad también influyen en el retorno al trabajo. Una cohorte de 2.825 personas de baja por dolor lumbar en seis países siguió su evolución durante dos años [26]. El retorno sostenido al trabajo osciló entre el 22 % de la cohorte alemana y el 62 % de la neerlandesa [26]. Las intervenciones en el lugar de trabajo y las características del empleo explicaron la mayor parte de esas diferencias [26].</w:t>
      </w:r>
    </w:p>
    <w:p>
      <w:pPr>
        <w:spacing w:after="140"/>
        <w:jc w:val="both"/>
      </w:pPr>
      <w:r>
        <w:rPr>
          <w:rFonts w:ascii="Calibri" w:cs="Calibri" w:eastAsia="Calibri" w:hAnsi="Calibri"/>
        </w:rPr>
        <w:t xml:space="preserve">La intensidad y el momento de la intervención condicionan su efecto sobre la baja laboral. En un ensayo sueco seguido durante diez años, la rehabilitación multidisciplinar redujo la incapacidad temporal en unos 43 días al año frente al tratamiento habitual [27]. La fisioterapia aislada y la terapia cognitivo-conductual no mostraron diferencias significativas frente al grupo control [27]. Cuando Suecia extendió la rehabilitación multimodal a todo el país, un estudio con controles emparejados no encontró menos días de baja que con el tratamiento habitual [28]. Sí encontró menos pensiones de incapacidad nuevas en el grupo de intervención [28]. Sus autores proponen iniciar la rehabilitación en los primeros 60 días de baja, como implicación práctica y no como resultado medido [28].</w:t>
      </w:r>
    </w:p>
    <w:p>
      <w:pPr>
        <w:spacing w:after="140"/>
        <w:jc w:val="both"/>
      </w:pPr>
      <w:r>
        <w:rPr>
          <w:rFonts w:ascii="Calibri" w:cs="Calibri" w:eastAsia="Calibri" w:hAnsi="Calibri"/>
        </w:rPr>
        <w:t xml:space="preserve">Esta evidencia tiene dos consecuencias para el modelo. La primera es que la fisioterapia de AP debe llegar pronto a las personas en incapacidad temporal, y el indicador IE-10 del anexo B mide ese intervalo. La segunda es que la reducción de la baja laboral no puede prometerse como efecto automático, de modo que el indicador IR-6 la mide sin fijar un estándar previo.</w:t>
      </w:r>
    </w:p>
    <w:p>
      <w:pPr>
        <w:pStyle w:val="Heading2"/>
      </w:pPr>
      <w:r>
        <w:rPr>
          <w:rFonts w:ascii="Calibri" w:cs="Calibri" w:eastAsia="Calibri" w:hAnsi="Calibri"/>
        </w:rPr>
        <w:t xml:space="preserve">1.4. El coste de derivar tarde o de derivar dos veces</w:t>
      </w:r>
    </w:p>
    <w:p>
      <w:pPr>
        <w:spacing w:after="140"/>
        <w:jc w:val="both"/>
      </w:pPr>
      <w:r>
        <w:rPr>
          <w:rFonts w:ascii="Calibri" w:cs="Calibri" w:eastAsia="Calibri" w:hAnsi="Calibri"/>
        </w:rPr>
        <w:t xml:space="preserve">Cada proceso debe llegar primero al recurso más adecuado para él. Si la respuesta de ese recurso no basta, el profesional valora entonces la derivación a otro. La derivación simultánea del mismo proceso a dos servicios duplica esperas, consultas y pruebas. Además, fragmenta la información clínica y dificulta que un único profesional asuma el seguimiento.</w:t>
      </w:r>
    </w:p>
    <w:p>
      <w:pPr>
        <w:spacing w:after="140"/>
        <w:jc w:val="both"/>
      </w:pPr>
      <w:r>
        <w:rPr>
          <w:rFonts w:ascii="Calibri" w:cs="Calibri" w:eastAsia="Calibri" w:hAnsi="Calibri"/>
        </w:rPr>
        <w:t xml:space="preserve">La literatura sobre acceso directo aporta datos sobre ese coste. Una revisión sistemática de Ojha y colaboradores comparó episodios de fisioterapia con acceso directo y episodios derivados por un médico [29]. Los episodios con acceso directo tuvieron menos sesiones de fisioterapia, menos pruebas de imagen y menos medicación prescrita, sin evidencia de daño [29]. Los estudios incluidos eran observacionales, de modo que el resultado debe leerse con cautela [29].</w:t>
      </w:r>
    </w:p>
    <w:p>
      <w:pPr>
        <w:spacing w:after="140"/>
        <w:jc w:val="both"/>
      </w:pPr>
      <w:r>
        <w:rPr>
          <w:rFonts w:ascii="Calibri" w:cs="Calibri" w:eastAsia="Calibri" w:hAnsi="Calibri"/>
        </w:rPr>
        <w:t xml:space="preserve">Frogner y colaboradores estudiaron el dolor lumbar en aseguradoras comerciales de Estados Unidos [30]. Las personas que consultaron primero con fisioterapia tuvieron menor probabilidad de recibir opioides, imagen avanzada o atención en urgencias [30]. En cambio, tuvieron una probabilidad mayor de hospitalización, y el estudio no permite explicar ese hallazgo [30]. Un metaanálisis de ensayos aleatorizados publicado en 2025 encontró menos pruebas de imagen y menos medicación cuando la fisioterapia es el primer contacto [31].</w:t>
      </w:r>
    </w:p>
    <w:p>
      <w:pPr>
        <w:spacing w:after="140"/>
        <w:jc w:val="both"/>
      </w:pPr>
      <w:r>
        <w:rPr>
          <w:rFonts w:ascii="Calibri" w:cs="Calibri" w:eastAsia="Calibri" w:hAnsi="Calibri"/>
        </w:rPr>
        <w:t xml:space="preserve">El momento del acceso también influye en el coste. Fritz y colaboradores analizaron 32.070 personas que consultaron por primera vez en AP por dolor lumbar en Estados Unidos [32]. Solo el 7,0 % recibió fisioterapia [32]. Frente a la fisioterapia diferida, la fisioterapia en los primeros 14 días se asoció a menos imagen avanzada, menos visitas médicas, menos cirugía, menos infiltraciones y menos opioides [32]. El coste médico total del dolor lumbar fue 2.736 dólares menor con la fisioterapia precoz [32]. Se trata de un estudio observacional, de modo que la asociación no prueba por sí sola una relación causal.</w:t>
      </w:r>
    </w:p>
    <w:p>
      <w:pPr>
        <w:spacing w:after="140"/>
        <w:jc w:val="both"/>
      </w:pPr>
      <w:r>
        <w:rPr>
          <w:rFonts w:ascii="Calibri" w:cs="Calibri" w:eastAsia="Calibri" w:hAnsi="Calibri"/>
        </w:rPr>
        <w:t xml:space="preserve">Los ensayos aleatorizados apuntan en la misma dirección, aunque con efectos más modestos. En un ensayo sueco en AP, el acceso a fisioterapia en dos días redujo más el dolor a los seis meses que una espera de cuatro semanas [33]. Sus autores señalan que ese acceso precoz puede lograrse reorganizando el servicio, sin recursos adicionales [33]. En un ensayo británico, el tratamiento inmediato mejoró antes la discapacidad y el estado de ánimo que la espera [34]. A largo plazo, el dolor y la discapacidad se igualaron entre los grupos [34]. Un estudio laboral de 3.867 casos encontró menos visitas médicas y menos días de baja con la fisioterapia precoz, sin aleatorización [35].</w:t>
      </w:r>
    </w:p>
    <w:p>
      <w:pPr>
        <w:spacing w:after="140"/>
        <w:jc w:val="both"/>
      </w:pPr>
      <w:r>
        <w:rPr>
          <w:rFonts w:ascii="Calibri" w:cs="Calibri" w:eastAsia="Calibri" w:hAnsi="Calibri"/>
        </w:rPr>
        <w:t xml:space="preserve">La derivación hospitalaria sin paso previo por fisioterapia también tiene un coste. Un estudio español analizó 6.225 solicitudes de derivación desde AP a traumatología en un área de salud de Castilla y León durante el primer semestre de 2019 [36]. Los procesos degenerativos justificaron el 65,7 % de las solicitudes, sobre todo de columna y de rodilla [36]. Solo el 36,5 % describía alguna exploración física, y solo el 11,2 % mencionaba una fisioterapia previa [36]. Estos datos muestran que muchas solicitudes de consulta con traumatología corresponden a procesos que la fisioterapia de AP puede valorar primero.</w:t>
      </w:r>
    </w:p>
    <w:p>
      <w:pPr>
        <w:pStyle w:val="Heading2"/>
      </w:pPr>
      <w:r>
        <w:rPr>
          <w:rFonts w:ascii="Calibri" w:cs="Calibri" w:eastAsia="Calibri" w:hAnsi="Calibri"/>
        </w:rPr>
        <w:t xml:space="preserve">1.5. Capacidad resolutiva de la fisioterapia de atención primaria</w:t>
      </w:r>
    </w:p>
    <w:p>
      <w:pPr>
        <w:spacing w:after="140"/>
        <w:jc w:val="both"/>
      </w:pPr>
      <w:r>
        <w:rPr>
          <w:rFonts w:ascii="Calibri" w:cs="Calibri" w:eastAsia="Calibri" w:hAnsi="Calibri"/>
        </w:rPr>
        <w:t xml:space="preserve">Downie y colaboradores evaluaron durante dos años un servicio escocés de fisioterapia como alternativa al médico de familia [37]. De los 8.417 contactos registrados, el 87,3 % se resolvió en atención primaria [37]. Además, el 60,4 % necesitó solo pautas de automanejo [37].</w:t>
      </w:r>
    </w:p>
    <w:p>
      <w:pPr>
        <w:spacing w:after="140"/>
        <w:jc w:val="both"/>
      </w:pPr>
      <w:r>
        <w:rPr>
          <w:rFonts w:ascii="Calibri" w:cs="Calibri" w:eastAsia="Calibri" w:hAnsi="Calibri"/>
        </w:rPr>
        <w:t xml:space="preserve">Una evaluación nacional retrospectiva en setenta redes de atención primaria del Reino Unido analizó la reconsulta tras una cita de fisioterapia de primer contacto [38]. El 78,5 % de las personas no volvió a consultar en las doce semanas siguientes [38].</w:t>
      </w:r>
    </w:p>
    <w:p>
      <w:pPr>
        <w:spacing w:after="140"/>
        <w:jc w:val="both"/>
      </w:pPr>
      <w:r>
        <w:rPr>
          <w:rFonts w:ascii="Calibri" w:cs="Calibri" w:eastAsia="Calibri" w:hAnsi="Calibri"/>
        </w:rPr>
        <w:t xml:space="preserve">En España, la Comunidad de Madrid informó de que sus unidades de fisioterapia de AP atendieron a cerca de 159.000 personas en 2024 [39]. Según la misma nota oficial, se alcanzaron los objetivos fijados para cada persona en el 77 % de los casos [39]. La reducción del dolor se logró en cerca del 93 % [39]. Esas unidades impartieron además 335 talleres para la ciudadanía, 224 de ellos dirigidos a prevenir la fragilidad y las caídas en personas mayores [39]. Estos datos proceden de la actividad asistencial y no de un estudio comparativo.</w:t>
      </w:r>
    </w:p>
    <w:p>
      <w:pPr>
        <w:spacing w:after="140"/>
        <w:jc w:val="both"/>
      </w:pPr>
      <w:r>
        <w:rPr>
          <w:rFonts w:ascii="Calibri" w:cs="Calibri" w:eastAsia="Calibri" w:hAnsi="Calibri"/>
        </w:rPr>
        <w:t xml:space="preserve">Los servicios de triaje musculoesquelético aportan otra medida de la capacidad resolutiva. En estos servicios, un fisioterapeuta de práctica avanzada valora antes que el cirujano a las personas que el médico ha enviado a traumatología o a columna. Wood y colaboradores revisaron 2.651 personas atendidas por este perfil en una unidad de columna del Reino Unido [40]. El fisioterapeuta resolvió de forma independiente el 92 % de los casos, y solo el 8 % necesitó comentar el caso o una revisión quirúrgica [40]. En Gales, un equipo liderado por fisioterapia revisó 2.362 altas de un año [41]. Entre doce y dieciocho meses después del alta, solo el 2 % de esas personas volvió a atención hospitalaria por el mismo problema [41]. La sección 4.4 resume esta evidencia.</w:t>
      </w:r>
    </w:p>
    <w:p>
      <w:pPr>
        <w:spacing w:after="140"/>
        <w:jc w:val="both"/>
      </w:pPr>
      <w:r>
        <w:rPr>
          <w:rFonts w:ascii="Calibri" w:cs="Calibri" w:eastAsia="Calibri" w:hAnsi="Calibri"/>
        </w:rPr>
        <w:t xml:space="preserve">La búsqueda realizada para este documento no ha encontrado ningún estudio publicado que evalúe un modelo de acceso directo a fisioterapia dentro del Sistema Nacional de Salud. Sí existen estudios españoles de fisioterapia de AP sobre programas grupales y educación en dolor, que la sección 5.4 recoge. Esta carencia tiene una consecuencia práctica. El despliegue que se propone debe medir sus resultados desde el primer día, con indicadores comunes para todas las comunidades autónomas (sección 10).</w:t>
      </w:r>
    </w:p>
    <w:p>
      <w:pPr>
        <w:pStyle w:val="Heading1"/>
        <w:pageBreakBefore/>
      </w:pPr>
      <w:r>
        <w:rPr>
          <w:rFonts w:ascii="Calibri" w:cs="Calibri" w:eastAsia="Calibri" w:hAnsi="Calibri"/>
        </w:rPr>
        <w:t xml:space="preserve">2. Marco normativo y de planificación</w:t>
      </w:r>
    </w:p>
    <w:p>
      <w:pPr>
        <w:spacing w:after="140"/>
        <w:jc w:val="both"/>
      </w:pPr>
      <w:r>
        <w:rPr>
          <w:rFonts w:ascii="Calibri" w:cs="Calibri" w:eastAsia="Calibri" w:hAnsi="Calibri"/>
        </w:rPr>
        <w:t xml:space="preserve">Esta sección muestra que la propuesta desarrolla un servicio que ya forma parte de la cartera común del Sistema Nacional de Salud (SNS). También identifica los límites normativos que la propuesta debe respetar o pedir que se modifiquen.</w:t>
      </w:r>
    </w:p>
    <w:p>
      <w:pPr>
        <w:pStyle w:val="Heading2"/>
      </w:pPr>
      <w:r>
        <w:rPr>
          <w:rFonts w:ascii="Calibri" w:cs="Calibri" w:eastAsia="Calibri" w:hAnsi="Calibri"/>
        </w:rPr>
        <w:t xml:space="preserve">2.1. Ley 44/2003, de ordenación de las profesiones sanitarias</w:t>
      </w:r>
    </w:p>
    <w:p>
      <w:pPr>
        <w:spacing w:after="140"/>
        <w:jc w:val="both"/>
      </w:pPr>
      <w:r>
        <w:rPr>
          <w:rFonts w:ascii="Calibri" w:cs="Calibri" w:eastAsia="Calibri" w:hAnsi="Calibri"/>
        </w:rPr>
        <w:t xml:space="preserve">La Ley 44/2003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w:pPr>
        <w:spacing w:after="140"/>
        <w:jc w:val="both"/>
      </w:pPr>
      <w:r>
        <w:rPr>
          <w:rFonts w:ascii="Calibri" w:cs="Calibri" w:eastAsia="Calibri" w:hAnsi="Calibri"/>
        </w:rPr>
        <w:t xml:space="preserve">El artículo 4.7 establece que las profesiones sanitarias se ejercen con plena autonomía técnica y científica, con los únicos límites que fija el ordenamiento jurídico y deontológico [1]. Esa autonomía ampara la valoración y el alta fisioterapéuticas que describe la sección 7.1.</w:t>
      </w:r>
    </w:p>
    <w:p>
      <w:pPr>
        <w:spacing w:after="140"/>
        <w:jc w:val="both"/>
      </w:pPr>
      <w:r>
        <w:rPr>
          <w:rFonts w:ascii="Calibri" w:cs="Calibri" w:eastAsia="Calibri" w:hAnsi="Calibri"/>
        </w:rPr>
        <w:t xml:space="preserve">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w:pPr>
        <w:pStyle w:val="Heading2"/>
      </w:pPr>
      <w:r>
        <w:rPr>
          <w:rFonts w:ascii="Calibri" w:cs="Calibri" w:eastAsia="Calibri" w:hAnsi="Calibri"/>
        </w:rPr>
        <w:t xml:space="preserve">2.2. Real Decreto 1030/2006, de cartera de servicios comunes</w:t>
      </w:r>
    </w:p>
    <w:p>
      <w:pPr>
        <w:spacing w:after="140"/>
        <w:jc w:val="both"/>
      </w:pPr>
      <w:r>
        <w:rPr>
          <w:rFonts w:ascii="Calibri" w:cs="Calibri" w:eastAsia="Calibri" w:hAnsi="Calibri"/>
        </w:rPr>
        <w:t xml:space="preserve">El anexo II del Real Decreto 1030/2006 contiene la cartera común de AP, y su apartado 6 regula la rehabilitación básica [42, 43]. El texto dice: «Comprende las actividades de educación, prevención y rehabilitación que son susceptibles de realizarse en el ámbito de atención primaria, en régimen ambulatorio, previa indicación médica y de acuerdo con los programas de cada servicio de salud, incluyendo la asistencia domiciliaria si se considera necesaria por circunstancias clínicas o por limitaciones en la accesibilidad» [43].</w:t>
      </w:r>
    </w:p>
    <w:p>
      <w:pPr>
        <w:spacing w:after="140"/>
        <w:jc w:val="both"/>
      </w:pPr>
      <w:r>
        <w:rPr>
          <w:rFonts w:ascii="Calibri" w:cs="Calibri" w:eastAsia="Calibri" w:hAnsi="Calibri"/>
        </w:rPr>
        <w:t xml:space="preserve">El apartado incluye seis contenidos [43]:</w:t>
      </w:r>
    </w:p>
    <w:p>
      <w:pPr>
        <w:pStyle w:val="ListParagraph"/>
        <w:numPr>
          <w:ilvl w:val="0"/>
          <w:numId w:val="3"/>
        </w:numPr>
        <w:spacing w:after="60"/>
      </w:pPr>
      <w:r>
        <w:rPr>
          <w:rFonts w:ascii="Calibri" w:cs="Calibri" w:eastAsia="Calibri" w:hAnsi="Calibri"/>
        </w:rPr>
        <w:t xml:space="preserve">La prevención del desarrollo o de la progresión de trastornos musculoesqueléticos.</w:t>
      </w:r>
    </w:p>
    <w:p>
      <w:pPr>
        <w:pStyle w:val="ListParagraph"/>
        <w:numPr>
          <w:ilvl w:val="0"/>
          <w:numId w:val="3"/>
        </w:numPr>
        <w:spacing w:after="60"/>
      </w:pPr>
      <w:r>
        <w:rPr>
          <w:rFonts w:ascii="Calibri" w:cs="Calibri" w:eastAsia="Calibri" w:hAnsi="Calibri"/>
        </w:rPr>
        <w:t xml:space="preserve">Los tratamientos fisioterapéuticos para el control de síntomas y la mejora funcional en procesos crónicos musculoesqueléticos.</w:t>
      </w:r>
    </w:p>
    <w:p>
      <w:pPr>
        <w:pStyle w:val="ListParagraph"/>
        <w:numPr>
          <w:ilvl w:val="0"/>
          <w:numId w:val="3"/>
        </w:numPr>
        <w:spacing w:after="60"/>
      </w:pPr>
      <w:r>
        <w:rPr>
          <w:rFonts w:ascii="Calibri" w:cs="Calibri" w:eastAsia="Calibri" w:hAnsi="Calibri"/>
        </w:rPr>
        <w:t xml:space="preserve">La recuperación de procesos agudos musculoesqueléticos leves.</w:t>
      </w:r>
    </w:p>
    <w:p>
      <w:pPr>
        <w:pStyle w:val="ListParagraph"/>
        <w:numPr>
          <w:ilvl w:val="0"/>
          <w:numId w:val="3"/>
        </w:numPr>
        <w:spacing w:after="60"/>
      </w:pPr>
      <w:r>
        <w:rPr>
          <w:rFonts w:ascii="Calibri" w:cs="Calibri" w:eastAsia="Calibri" w:hAnsi="Calibri"/>
        </w:rPr>
        <w:t xml:space="preserve">Los tratamientos fisioterapéuticos en trastornos neurológicos.</w:t>
      </w:r>
    </w:p>
    <w:p>
      <w:pPr>
        <w:pStyle w:val="ListParagraph"/>
        <w:numPr>
          <w:ilvl w:val="0"/>
          <w:numId w:val="3"/>
        </w:numPr>
        <w:spacing w:after="60"/>
      </w:pPr>
      <w:r>
        <w:rPr>
          <w:rFonts w:ascii="Calibri" w:cs="Calibri" w:eastAsia="Calibri" w:hAnsi="Calibri"/>
        </w:rPr>
        <w:t xml:space="preserve">La fisioterapia respiratoria.</w:t>
      </w:r>
    </w:p>
    <w:p>
      <w:pPr>
        <w:pStyle w:val="ListParagraph"/>
        <w:numPr>
          <w:ilvl w:val="0"/>
          <w:numId w:val="3"/>
        </w:numPr>
        <w:spacing w:after="60"/>
      </w:pPr>
      <w:r>
        <w:rPr>
          <w:rFonts w:ascii="Calibri" w:cs="Calibri" w:eastAsia="Calibri" w:hAnsi="Calibri"/>
        </w:rPr>
        <w:t xml:space="preserve">La orientación y formación sanitaria al paciente o a la persona cuidadora, en su caso.</w:t>
      </w:r>
    </w:p>
    <w:p>
      <w:pPr>
        <w:spacing w:after="140"/>
        <w:jc w:val="both"/>
      </w:pPr>
      <w:r>
        <w:rPr>
          <w:rFonts w:ascii="Calibri" w:cs="Calibri" w:eastAsia="Calibri" w:hAnsi="Calibri"/>
        </w:rPr>
        <w:t xml:space="preserve">La fisioterapia forma parte, por tanto, de la cartera común de AP desde 2006 [42]. Esta propuesta no crea un servicio nuevo, sino que desarrolla uno existente y homogeneiza su prestación.</w:t>
      </w:r>
    </w:p>
    <w:p>
      <w:pPr>
        <w:spacing w:after="140"/>
        <w:jc w:val="both"/>
      </w:pPr>
      <w:r>
        <w:rPr>
          <w:rFonts w:ascii="Calibri" w:cs="Calibri" w:eastAsia="Calibri" w:hAnsi="Calibri"/>
        </w:rPr>
        <w:t xml:space="preserve">El apartado 6 contiene, sin embargo, un inciso que condiciona toda la propuesta: las actividades se realizan «previa indicación médica» [43]. Un modelo estatal de autorreferencia tiene que tratar este inciso de forma expresa. La sección 7.5 expone cómo lo hace este documento.</w:t>
      </w:r>
    </w:p>
    <w:p>
      <w:pPr>
        <w:spacing w:after="140"/>
        <w:jc w:val="both"/>
      </w:pPr>
      <w:r>
        <w:rPr>
          <w:rFonts w:ascii="Calibri" w:cs="Calibri" w:eastAsia="Calibri" w:hAnsi="Calibri"/>
        </w:rPr>
        <w:t xml:space="preserve">El anexo III del mismo real decreto regula la rehabilitación en pacientes con déficit funcional recuperable en el ámbito hospitalario [42]. Su contenido comprende el diagnóstico, la evaluación, la prevención y el tratamiento de ese déficit, con el fin de reintegrar al paciente en su medio habitual [42]. La distinción entre ambos anexos delimita los dos niveles. La rehabilitación básica corresponde a AP, mientras que la rehabilitación del déficit funcional complejo corresponde a la atención hospitalaria. La Orden SND/454/2025 modificó varios anexos del real decreto [44]. Este documento se refiere siempre al texto consolidado del apartado 6 del anexo II.</w:t>
      </w:r>
    </w:p>
    <w:p>
      <w:pPr>
        <w:pStyle w:val="Heading2"/>
      </w:pPr>
      <w:r>
        <w:rPr>
          <w:rFonts w:ascii="Calibri" w:cs="Calibri" w:eastAsia="Calibri" w:hAnsi="Calibri"/>
        </w:rPr>
        <w:t xml:space="preserve">2.3. Ley 16/2003, de cohesión y calidad del Sistema Nacional de Salud</w:t>
      </w:r>
    </w:p>
    <w:p>
      <w:pPr>
        <w:spacing w:after="140"/>
        <w:jc w:val="both"/>
      </w:pPr>
      <w:r>
        <w:rPr>
          <w:rFonts w:ascii="Calibri" w:cs="Calibri" w:eastAsia="Calibri" w:hAnsi="Calibri"/>
        </w:rPr>
        <w:t xml:space="preserve">La Ley 16/2003 define la cartera común básica en su artículo 8 bis [45]. Según ese artículo, la cartera comprende las actividades asistenciales de prevención, diagnóstico, tratamiento y rehabilitación que se realizan en centros sanitarios o sociosanitarios [45].</w:t>
      </w:r>
    </w:p>
    <w:p>
      <w:pPr>
        <w:spacing w:after="140"/>
        <w:jc w:val="both"/>
      </w:pPr>
      <w:r>
        <w:rPr>
          <w:rFonts w:ascii="Calibri" w:cs="Calibri" w:eastAsia="Calibri" w:hAnsi="Calibri"/>
        </w:rPr>
        <w:t xml:space="preserve">El artículo 20 establece que la cartera de servicios se acuerda en el seno del Consejo Interterritorial y se aprueba mediante real decreto [45]. El artículo 21 regula su actualización, que exige evaluar la seguridad, la eficacia, la eficiencia o la efectividad del procedimiento [45]. El artículo 71 atribuye al Consejo Interterritorial el conocimiento y el debate sobre el desarrollo de la cartera común [45]. Esta ley ofrece la vía formal para dos de las peticiones de este documento: la actualización del apartado 6 del anexo II y la creación de un grupo de trabajo para el despliegue.</w:t>
      </w:r>
    </w:p>
    <w:p>
      <w:pPr>
        <w:pStyle w:val="Heading2"/>
      </w:pPr>
      <w:r>
        <w:rPr>
          <w:rFonts w:ascii="Calibri" w:cs="Calibri" w:eastAsia="Calibri" w:hAnsi="Calibri"/>
        </w:rPr>
        <w:t xml:space="preserve">2.4. Marco Estratégico y planes de acción de atención primaria</w:t>
      </w:r>
    </w:p>
    <w:p>
      <w:pPr>
        <w:spacing w:after="140"/>
        <w:jc w:val="both"/>
      </w:pPr>
      <w:r>
        <w:rPr>
          <w:rFonts w:ascii="Calibri" w:cs="Calibri" w:eastAsia="Calibri" w:hAnsi="Calibri"/>
        </w:rPr>
        <w:t xml:space="preserve">El Marco Estratégico para la Atención Primaria y Comunitaria se aprobó en el Consejo Interterritorial en 2019 [46]. Su acción A.4.4 incluye el objetivo de «incrementar la capacidad resolutiva de fisioterapia, asumiendo patología aguda de baja complejidad y crónica estable, mediante circuitos y protocolos de actuación basados en la evidencia» [46]. El mismo marco pide «potenciar la participación de fisioterapia en actividades preventivas» [46].</w:t>
      </w:r>
    </w:p>
    <w:p>
      <w:pPr>
        <w:spacing w:after="140"/>
        <w:jc w:val="both"/>
      </w:pPr>
      <w:r>
        <w:rPr>
          <w:rFonts w:ascii="Calibri" w:cs="Calibri" w:eastAsia="Calibri" w:hAnsi="Calibri"/>
        </w:rPr>
        <w:t xml:space="preserve">El Plan de Acción de Atención Primaria y Comunitaria 2022-2023 dio continuidad a ese marco [47]. El Plan de Acción 2025-2027, aprobado en diciembre de 2024, define un nuevo mapa de competencias que incluye a los fisioterapeutas de AP [48, 49]. Sus objetivos incluyen la continuidad asistencial, la ampliación de la cartera y la mejora de la capacidad resolutiva [49]. Este documento se presenta como desarrollo operativo de esos objetivos para la fisioterapia. Este documento propone usar ese mapa de competencias para ampliar el papel clínico del fisioterapeuta de AP.</w:t>
      </w:r>
    </w:p>
    <w:p>
      <w:pPr>
        <w:spacing w:after="140"/>
        <w:jc w:val="both"/>
      </w:pPr>
      <w:r>
        <w:rPr>
          <w:rFonts w:ascii="Calibri" w:cs="Calibri" w:eastAsia="Calibri" w:hAnsi="Calibri"/>
        </w:rPr>
        <w:t xml:space="preserve">Otras tres estrategias del Ministerio de Sanidad enmarcan la propuesta. La Estrategia para el Abordaje de la Cronicidad orienta la atención de los procesos crónicos [50]. La Estrategia de Promoción de la Salud y Prevención vincula el consejo sobre estilos de vida en AP con los recursos comunitarios [51]. Por último, la Estrategia de Salud Digital del SNS ofrece el marco para la teleconsulta y el seguimiento remoto [52].</w:t>
      </w:r>
    </w:p>
    <w:p>
      <w:pPr>
        <w:pStyle w:val="Heading2"/>
      </w:pPr>
      <w:r>
        <w:rPr>
          <w:rFonts w:ascii="Calibri" w:cs="Calibri" w:eastAsia="Calibri" w:hAnsi="Calibri"/>
        </w:rPr>
        <w:t xml:space="preserve">2.5. Instrumentos autonómicos que desarrollan la cartera común</w:t>
      </w:r>
    </w:p>
    <w:p>
      <w:pPr>
        <w:spacing w:after="140"/>
        <w:jc w:val="both"/>
      </w:pPr>
      <w:r>
        <w:rPr>
          <w:rFonts w:ascii="Calibri" w:cs="Calibri" w:eastAsia="Calibri" w:hAnsi="Calibri"/>
        </w:rPr>
        <w:t xml:space="preserve">Las comunidades autónomas desarrollan el apartado 6 del anexo II mediante instrumentos de rango muy distinto. La tabla 3.2 recoge carteras de servicios, guías de actuación, protocolos de área y formación oficial. Todos ellos son documentos técnicos o de gestión de los servicios de salud.</w:t>
      </w:r>
    </w:p>
    <w:p>
      <w:pPr>
        <w:spacing w:after="140"/>
        <w:jc w:val="both"/>
      </w:pPr>
      <w:r>
        <w:rPr>
          <w:rFonts w:ascii="Calibri" w:cs="Calibri" w:eastAsia="Calibri" w:hAnsi="Calibri"/>
        </w:rPr>
        <w:t xml:space="preserve">La instrucción de la Gerencia Asistencial de AP de Madrid ilustra ese nivel normativo. Su ficha de gestión documental identifica la autoría, los revisores, el órgano que la aprueba, los destinatarios y la fecha de entrada en vigor [9]. La aprueba la propia gerencia, y sus destinatarios son las direcciones asistenciales y los profesionales de los centros de salud [9]. Se trata, por tanto, de una instrucción de gestión interna y no de una norma autonómica.</w:t>
      </w:r>
    </w:p>
    <w:p>
      <w:pPr>
        <w:spacing w:after="140"/>
        <w:jc w:val="both"/>
      </w:pPr>
      <w:r>
        <w:rPr>
          <w:rFonts w:ascii="Calibri" w:cs="Calibri" w:eastAsia="Calibri" w:hAnsi="Calibri"/>
        </w:rPr>
        <w:t xml:space="preserve">Este rango tiene dos consecuencias para la propuesta. Por un lado, permite a cada servicio de salud abrir el acceso directo sin esperar una reforma estatal. Por otro, deja el acceso directo en una situación frágil frente al inciso «previa indicación médica» del apartado 6 [43]. Por eso la sección 7.5 pide actualizar ese apartado, y la sección 11.4 propone que la matriz común se apruebe en el Consejo Interterritorial.</w:t>
      </w:r>
    </w:p>
    <w:p>
      <w:pPr>
        <w:spacing w:after="140"/>
        <w:jc w:val="both"/>
      </w:pPr>
      <w:r>
        <w:rPr>
          <w:rFonts w:ascii="Calibri" w:cs="Calibri" w:eastAsia="Calibri" w:hAnsi="Calibri"/>
        </w:rPr>
        <w:t xml:space="preserve">La Sociedade Galega de Fisioterapeutas planteó en 2019 la misma cuestión para Galicia [8]. Su análisis situaba la derivación directa desde medicina de familia como una política pública de gestión sanitaria que debía incorporarse al nuevo modelo de AP [8]. Ambos documentos muestran que el despliegue depende hoy de decisiones de gestión y no de un marco estatal común.</w:t>
      </w:r>
    </w:p>
    <w:p>
      <w:pPr>
        <w:pStyle w:val="Heading2"/>
      </w:pPr>
      <w:r>
        <w:rPr>
          <w:rFonts w:ascii="Calibri" w:cs="Calibri" w:eastAsia="Calibri" w:hAnsi="Calibri"/>
        </w:rPr>
        <w:t xml:space="preserve">2.6. Real Decreto 601/2019, sobre exposiciones médicas</w:t>
      </w:r>
    </w:p>
    <w:p>
      <w:pPr>
        <w:spacing w:after="140"/>
        <w:jc w:val="both"/>
      </w:pPr>
      <w:r>
        <w:rPr>
          <w:rFonts w:ascii="Calibri" w:cs="Calibri" w:eastAsia="Calibri" w:hAnsi="Calibri"/>
        </w:rPr>
        <w:t xml:space="preserve">El Real Decreto 601/2019 regula la justificación y la optimización de las exposiciones médicas a radiaciones ionizantes [53]. La norma distingue dos figuras. El prescriptor es el «médico, odontólogo u otro profesional sanitario autorizado para remitir a personas para ser sometidas a procedimientos médico-radiológicos» [53]. El profesional sanitario habilitado es quien asume la responsabilidad clínica de la exposición [53].</w:t>
      </w:r>
    </w:p>
    <w:p>
      <w:pPr>
        <w:spacing w:after="140"/>
        <w:jc w:val="both"/>
      </w:pPr>
      <w:r>
        <w:rPr>
          <w:rFonts w:ascii="Calibri" w:cs="Calibri" w:eastAsia="Calibri" w:hAnsi="Calibri"/>
        </w:rPr>
        <w:t xml:space="preserve">La norma no menciona al fisioterapeuta en ninguna de las dos figuras [53]. La Directiva 2013/59/Euratom, que el real decreto transpone, tampoco reserva en exclusiva a los médicos la remisión a estos procedimientos [54]. Este marco es la base de la petición de la sección 7.4.</w:t>
      </w:r>
    </w:p>
    <w:p>
      <w:pPr>
        <w:pStyle w:val="Heading2"/>
      </w:pPr>
      <w:r>
        <w:rPr>
          <w:rFonts w:ascii="Calibri" w:cs="Calibri" w:eastAsia="Calibri" w:hAnsi="Calibri"/>
        </w:rPr>
        <w:t xml:space="preserve">2.7. Marco internacional</w:t>
      </w:r>
    </w:p>
    <w:p>
      <w:pPr>
        <w:spacing w:after="140"/>
        <w:jc w:val="both"/>
      </w:pPr>
      <w:r>
        <w:rPr>
          <w:rFonts w:ascii="Calibri" w:cs="Calibri" w:eastAsia="Calibri" w:hAnsi="Calibri"/>
        </w:rPr>
        <w:t xml:space="preserve">La resolución WHA76.6 insta a los Estados a fortalecer la rehabilitación en sus sistemas de salud [6]. La OMS recomienda integrar la rehabilitación en la atención primaria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atención primaria [55].</w:t>
      </w:r>
    </w:p>
    <w:p>
      <w:pPr>
        <w:pStyle w:val="Heading1"/>
        <w:pageBreakBefore/>
      </w:pPr>
      <w:r>
        <w:rPr>
          <w:rFonts w:ascii="Calibri" w:cs="Calibri" w:eastAsia="Calibri" w:hAnsi="Calibri"/>
        </w:rPr>
        <w:t xml:space="preserve">3. Situación de la fisioterapia de atención primaria en España</w:t>
      </w:r>
    </w:p>
    <w:p>
      <w:pPr>
        <w:spacing w:after="140"/>
        <w:jc w:val="both"/>
      </w:pPr>
      <w:r>
        <w:rPr>
          <w:rFonts w:ascii="Calibri" w:cs="Calibri" w:eastAsia="Calibri" w:hAnsi="Calibri"/>
        </w:rPr>
        <w:t xml:space="preserve">Esta sección describe la dotación actual y los modelos que aplica cada comunidad autónoma. Cada afirmación sobre una comunidad cita el documento que la sostiene y su año. Cuando solo existe una noticia de prensa, el texto la identifica como fuente secundaria.</w:t>
      </w:r>
    </w:p>
    <w:p>
      <w:pPr>
        <w:pStyle w:val="Heading2"/>
      </w:pPr>
      <w:r>
        <w:rPr>
          <w:rFonts w:ascii="Calibri" w:cs="Calibri" w:eastAsia="Calibri" w:hAnsi="Calibri"/>
        </w:rPr>
        <w:t xml:space="preserve">3.1. Dotación actual</w:t>
      </w:r>
    </w:p>
    <w:p>
      <w:pPr>
        <w:spacing w:after="140"/>
        <w:jc w:val="both"/>
      </w:pPr>
      <w:r>
        <w:rPr>
          <w:rFonts w:ascii="Calibri" w:cs="Calibri" w:eastAsia="Calibri" w:hAnsi="Calibri"/>
        </w:rPr>
        <w:t xml:space="preserve">El informe monográfico de recursos humanos del SNS de 2024 contabiliza 2.418 fisioterapeutas en AP [56]. Según el mismo informe, el 84,8 % de los fisioterapeutas del SNS trabaja en hospitales y el 10 % en AP [56]. El reparto muestra que la fisioterapia pública se concentra en el nivel hospitalario.</w:t>
      </w:r>
    </w:p>
    <w:p>
      <w:pPr>
        <w:spacing w:after="140"/>
        <w:jc w:val="both"/>
      </w:pPr>
      <w:r>
        <w:rPr>
          <w:rFonts w:ascii="Calibri" w:cs="Calibri" w:eastAsia="Calibri" w:hAnsi="Calibri"/>
        </w:rPr>
        <w:t xml:space="preserve">La dotación de AP varía mucho entre comunidades autónomas. Un editorial de la revista Fisioterapia recogió en 2022 los habitantes por fisioterapeuta de AP según el Sistema de Información de Atención Primaria (SIAP) [57]. La tabla 3.1 resume los valores extremos que publicó [57].</w:t>
      </w:r>
    </w:p>
    <w:p>
      <w:pPr>
        <w:keepNext/>
        <w:spacing w:after="80" w:before="200"/>
      </w:pPr>
      <w:r>
        <w:rPr>
          <w:rFonts w:ascii="Calibri" w:cs="Calibri" w:eastAsia="Calibri" w:hAnsi="Calibri"/>
          <w:b/>
          <w:bCs/>
          <w:color w:val="0096B1"/>
          <w:sz w:val="19"/>
          <w:szCs w:val="19"/>
        </w:rPr>
        <w:t xml:space="preserve">Tabla 3.1. Habitantes por fisioterapeuta de atención primaria en las comunidades autónomas con los valores extremos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9"/>
        <w:gridCol w:w="3313"/>
        <w:gridCol w:w="3618"/>
      </w:tblGrid>
      <w:tr>
        <w:trPr>
          <w:cantSplit/>
          <w:tblHeader/>
        </w:trPr>
        <w:tc>
          <w:tcPr>
            <w:tcW w:type="dxa" w:w="21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Comunidad autónoma</w:t>
            </w:r>
          </w:p>
        </w:tc>
        <w:tc>
          <w:tcPr>
            <w:tcW w:type="dxa" w:w="33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de AP</w:t>
            </w:r>
          </w:p>
        </w:tc>
        <w:tc>
          <w:tcPr>
            <w:tcW w:type="dxa" w:w="36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Posición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Asturias</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13.694</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Cantabria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10.091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104.847</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Extremadura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12.101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Navarra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91.972</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menor dotación</w:t>
            </w:r>
          </w:p>
        </w:tc>
      </w:tr>
    </w:tbl>
    <w:p>
      <w:pPr>
        <w:spacing w:after="200" w:before="60"/>
      </w:pPr>
      <w:r>
        <w:rPr>
          <w:rFonts w:ascii="Calibri" w:cs="Calibri" w:eastAsia="Calibri" w:hAnsi="Calibri"/>
          <w:i/>
          <w:iCs/>
          <w:color w:val="8C8C8C"/>
          <w:sz w:val="17"/>
          <w:szCs w:val="17"/>
        </w:rPr>
        <w:t xml:space="preserve">Fuente: Aiguadé Aiguadé, 2022, con datos del SIAP [57]. El editorial no precisa el año del dato. Los valores son anteriores a la incorporación de fisioterapeutas a los equipos de AP de Cataluña en 2022 y 2023 [58].</w:t>
      </w:r>
    </w:p>
    <w:p>
      <w:pPr>
        <w:spacing w:after="140"/>
        <w:jc w:val="both"/>
      </w:pPr>
      <w:r>
        <w:rPr>
          <w:rFonts w:ascii="Calibri" w:cs="Calibri" w:eastAsia="Calibri" w:hAnsi="Calibri"/>
        </w:rPr>
        <w:t xml:space="preserve">La diferencia entre los extremos supera la relación de diez a uno [57]. La cifra de Cataluña es anterior a su programa de incorporación de fisioterapeutas, que situó un profesional en cada equipo de AP entre 2022 y 2023 [58, 59]. El SIAP publica la serie completa por comunidad autónoma y es la fuente que usará el indicador IE-3 [60].</w:t>
      </w:r>
    </w:p>
    <w:p>
      <w:pPr>
        <w:pStyle w:val="Heading2"/>
      </w:pPr>
      <w:r>
        <w:rPr>
          <w:rFonts w:ascii="Calibri" w:cs="Calibri" w:eastAsia="Calibri" w:hAnsi="Calibri"/>
        </w:rPr>
        <w:t xml:space="preserve">3.2. Modelos autonómicos</w:t>
      </w:r>
    </w:p>
    <w:p>
      <w:pPr>
        <w:spacing w:after="140"/>
        <w:jc w:val="both"/>
      </w:pPr>
      <w:r>
        <w:rPr>
          <w:rFonts w:ascii="Calibri" w:cs="Calibri" w:eastAsia="Calibri" w:hAnsi="Calibri"/>
        </w:rPr>
        <w:t xml:space="preserve">La tabla 3.2 resume el modelo de cada comunidad autónoma. Las columnas indican tres cosas. La primera es si existe consulta propia en el centro de salud. La segunda es si el médico de familia deriva sin pasar por rehabilitación hospitalaria. La tercera es si la persona puede pedir cita sin derivación.</w:t>
      </w:r>
    </w:p>
    <w:p>
      <w:pPr>
        <w:keepNext/>
        <w:spacing w:after="80" w:before="200"/>
      </w:pPr>
      <w:r>
        <w:rPr>
          <w:rFonts w:ascii="Calibri" w:cs="Calibri" w:eastAsia="Calibri" w:hAnsi="Calibri"/>
          <w:b/>
          <w:bCs/>
          <w:color w:val="0096B1"/>
          <w:sz w:val="19"/>
          <w:szCs w:val="19"/>
        </w:rPr>
        <w:t xml:space="preserve">Tabla 3.2. Modelos de fisioterapia de atención primaria por comunidad autónoma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3699"/>
        <w:gridCol w:w="750"/>
        <w:gridCol w:w="846"/>
        <w:gridCol w:w="1774"/>
        <w:gridCol w:w="1062"/>
      </w:tblGrid>
      <w:tr>
        <w:trPr>
          <w:cantSplit/>
          <w:tblHeader/>
        </w:trPr>
        <w:tc>
          <w:tcPr>
            <w:tcW w:type="dxa" w:w="9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Comunidad autónoma</w:t>
            </w:r>
          </w:p>
        </w:tc>
        <w:tc>
          <w:tcPr>
            <w:tcW w:type="dxa" w:w="36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Documento de referencia</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w:t>
            </w:r>
          </w:p>
        </w:tc>
        <w:tc>
          <w:tcPr>
            <w:tcW w:type="dxa" w:w="84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Consulta propia</w:t>
            </w:r>
          </w:p>
        </w:tc>
        <w:tc>
          <w:tcPr>
            <w:tcW w:type="dxa" w:w="177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Derivación directa desde medicina de familia</w:t>
            </w:r>
          </w:p>
        </w:tc>
        <w:tc>
          <w:tcPr>
            <w:tcW w:type="dxa" w:w="10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Acceso directo del ciudadano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Andalucía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AP y circuito de derivación directa del Servicio Andaluz de Salud [61, 62]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seis procesos</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Aragón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del Gobierno de Aragón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Sin protocolo localizado</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Asturias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Baleares</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directa de la Gerencia de Atención Primaria de Mallorca [64]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doce patologías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Canarias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actuación de la consulta de fisioterapia en AP del Servicio Canario de la Salud [65, 66]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Cantabria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Castilla-La Mancha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Unidades de Fisioterapia de AP del SESCAM [67]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también desde pediatría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 y León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Protocolos de fisioterapia en AP de la Junta de Castilla y León [68]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Cataluña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Programa de incorporación de fisioterapeutas y plan funcional del Departament de Salut [58, 59]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cada equipo de AP</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dentro del equipo</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Comunidad Valenciana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Comunitaria de la Conselleria de Sanitat [69]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Extremadura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del Área de Salud de Plasencia [70]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esa área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Galicia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Carteira de servizos de fisioterapia de AP del SERGAS [71]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con motivos parametrizados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 Rioja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Madrid</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Estandarizados de AP del Servicio Madrileño de Salud e instrucción de la Gerencia Asistencial de AP sobre procesos de demanda [9, 39, 72]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tres procesos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Murcia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Fisioterapia en AP del Servicio Murciano de Salud [73]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Navarra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Formación oficial del Servicio Navarro de Salud sobre derivación directa [74]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determinados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 Vasco</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Información institucional de Osakidetza [75]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bl>
    <w:p>
      <w:pPr>
        <w:spacing w:after="200" w:before="60"/>
      </w:pPr>
      <w:r>
        <w:rPr>
          <w:rFonts w:ascii="Calibri" w:cs="Calibri" w:eastAsia="Calibri" w:hAnsi="Calibri"/>
          <w:i/>
          <w:iCs/>
          <w:color w:val="8C8C8C"/>
          <w:sz w:val="17"/>
          <w:szCs w:val="17"/>
        </w:rPr>
        <w:t xml:space="preserve">Fuente: elaboración propia a partir de los documentos citados en cada fila. «No localizado» indica que no se ha encontrado un documento oficial publicado.</w:t>
      </w:r>
    </w:p>
    <w:p>
      <w:pPr>
        <w:pStyle w:val="Heading2"/>
      </w:pPr>
      <w:r>
        <w:rPr>
          <w:rFonts w:ascii="Calibri" w:cs="Calibri" w:eastAsia="Calibri" w:hAnsi="Calibri"/>
        </w:rPr>
        <w:t xml:space="preserve">3.3. Modelos de referencia en España</w:t>
      </w:r>
    </w:p>
    <w:p>
      <w:pPr>
        <w:pStyle w:val="Heading3"/>
      </w:pPr>
      <w:r>
        <w:rPr>
          <w:rFonts w:ascii="Calibri" w:cs="Calibri" w:eastAsia="Calibri" w:hAnsi="Calibri"/>
        </w:rPr>
        <w:t xml:space="preserve">Canarias protocoliza la derivación desde medicina de familia</w:t>
      </w:r>
    </w:p>
    <w:p>
      <w:pPr>
        <w:spacing w:after="140"/>
        <w:jc w:val="both"/>
      </w:pPr>
      <w:r>
        <w:rPr>
          <w:rFonts w:ascii="Calibri" w:cs="Calibri" w:eastAsia="Calibri" w:hAnsi="Calibri"/>
        </w:rPr>
        <w:t xml:space="preserve">El Servicio Canario de la Salud dispone desde 2022 de una guía de actuación de la consulta de fisioterapia en AP [65]. El despliegue comenzó en 24 zonas básicas de Gran Canaria, Fuerteventura, Lanzarote y Tenerife, según la nota oficial del Gobierno de Canarias [66]. El modelo se basa en la valoración individual, el plan personalizado, la educación sanitaria y el ejercicio terapéutico [66]. Incluye procesos como la gonartrosis, la coxartrosis, el dolor lumbar y cervical persistente, la epicondilitis y la EPOC leve estable [66].</w:t>
      </w:r>
    </w:p>
    <w:p>
      <w:pPr>
        <w:pStyle w:val="Heading3"/>
      </w:pPr>
      <w:r>
        <w:rPr>
          <w:rFonts w:ascii="Calibri" w:cs="Calibri" w:eastAsia="Calibri" w:hAnsi="Calibri"/>
        </w:rPr>
        <w:t xml:space="preserve">Galicia abre el acceso directo mediante la gestión de la demanda</w:t>
      </w:r>
    </w:p>
    <w:p>
      <w:pPr>
        <w:spacing w:after="140"/>
        <w:jc w:val="both"/>
      </w:pPr>
      <w:r>
        <w:rPr>
          <w:rFonts w:ascii="Calibri" w:cs="Calibri" w:eastAsia="Calibri" w:hAnsi="Calibri"/>
        </w:rPr>
        <w:t xml:space="preserve">El Servizo Galego de Saúde (SERGAS) publica una cartera de servicios de fisioterapia de AP y comunitaria [71]. Su citación de AP se organiza con XIDE, un sistema de gestión integral de la demanda en equipo [76]. XIDE reparte las citas por motivo de consulta entre medicina, enfermería, matrona, farmacia, fisioterapia, trabajo social y personal administrativo [76]. A finales de 2022, el sistema funcionaba en 246 centros de salud y cubría al 73 % de la población gallega [76]. El mismo informe atribuye a XIDE una reducción media del 40 % de las citas forzadas en las agendas de medicina de familia [76]. Con este sistema, la persona accede a la consulta de fisioterapia sin la intermediación de otro profesional para motivos clínicos parametrizados [76]. La fisioterapia se incorporó en 2022 con un pilotaje en Culleredo e Illas Canarias, según una noticia de prensa que este documento usa como fuente secundaria [77].</w:t>
      </w:r>
    </w:p>
    <w:p>
      <w:pPr>
        <w:pStyle w:val="Heading3"/>
      </w:pPr>
      <w:r>
        <w:rPr>
          <w:rFonts w:ascii="Calibri" w:cs="Calibri" w:eastAsia="Calibri" w:hAnsi="Calibri"/>
        </w:rPr>
        <w:t xml:space="preserve">Madrid admite el acceso directo para tres procesos</w:t>
      </w:r>
    </w:p>
    <w:p>
      <w:pPr>
        <w:spacing w:after="140"/>
        <w:jc w:val="both"/>
      </w:pPr>
      <w:r>
        <w:rPr>
          <w:rFonts w:ascii="Calibri" w:cs="Calibri" w:eastAsia="Calibri" w:hAnsi="Calibri"/>
        </w:rPr>
        <w:t xml:space="preserve">La Cartera de Servicios Estandarizados de AP del Servicio Madrileño de Salud, actualizada en septiembre de 2025, incluye la atención fisioterapéutica a personas con procesos musculoesqueléticos agudos y subagudos [72]. En los procesos que no admiten acceso directo, la página institucional de la Comunidad de Madrid indica que es necesaria la derivación del médico de familia [78]. La nota oficial de septiembre de 2025 describe la citación directa desde la Unidad de Atención al Usuario [39].</w:t>
      </w:r>
    </w:p>
    <w:p>
      <w:pPr>
        <w:spacing w:after="140"/>
        <w:jc w:val="both"/>
      </w:pPr>
      <w:r>
        <w:rPr>
          <w:rFonts w:ascii="Calibri" w:cs="Calibri" w:eastAsia="Calibri" w:hAnsi="Calibri"/>
        </w:rPr>
        <w:t xml:space="preserve">La Gerencia Asistencial de AP regula esa citación en una instrucción interna titulada «Atención a procesos de demanda en las consultas de las Unidades de Atención Específica de Atención Primaria» [9]. La instrucción procede del Plan Estratégico 2020-2024 de la gerencia y de su proyecto de reorganización asistencial de los centros de salud [9]. Dentro de ese proyecto, el subproyecto de gestión de la demanda busca identificar «qué profesional es el que mejor respuesta puede dar a una demanda concreta» [9]. La instrucción se aplica a cuatro tipos de unidades: matronas, trabajo social sanitario, salud bucodental y fisioterapia [9].</w:t>
      </w:r>
    </w:p>
    <w:p>
      <w:pPr>
        <w:spacing w:after="140"/>
        <w:jc w:val="both"/>
      </w:pPr>
      <w:r>
        <w:rPr>
          <w:rFonts w:ascii="Calibri" w:cs="Calibri" w:eastAsia="Calibri" w:hAnsi="Calibri"/>
        </w:rPr>
        <w:t xml:space="preserve">Para la fisioterapia, la instrucción describe tres procesos: la epicondilalgia, el esguince de tobillo y la fascitis plantar [9]. Cada proceso tiene una definición, sus códigos de la Clasificación Internacional de Atención Primaria, una pauta de valoración y unos criterios de derivación [9]. La tabla 3.3 resume esos elementos.</w:t>
      </w:r>
    </w:p>
    <w:p>
      <w:pPr>
        <w:keepNext/>
        <w:spacing w:after="80" w:before="200"/>
      </w:pPr>
      <w:r>
        <w:rPr>
          <w:rFonts w:ascii="Calibri" w:cs="Calibri" w:eastAsia="Calibri" w:hAnsi="Calibri"/>
          <w:b/>
          <w:bCs/>
          <w:color w:val="0096B1"/>
          <w:sz w:val="19"/>
          <w:szCs w:val="19"/>
        </w:rPr>
        <w:t xml:space="preserve">Tabla 3.3. Procesos de citación directa con fisioterapia en la instrucción de la Gerencia Asistencial de AP de Madrid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4"/>
        <w:gridCol w:w="750"/>
        <w:gridCol w:w="2578"/>
        <w:gridCol w:w="1765"/>
        <w:gridCol w:w="2863"/>
      </w:tblGrid>
      <w:tr>
        <w:trPr>
          <w:cantSplit/>
          <w:tblHeader/>
        </w:trPr>
        <w:tc>
          <w:tcPr>
            <w:tcW w:type="dxa" w:w="111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Códigos CIAP</w:t>
            </w:r>
          </w:p>
        </w:tc>
        <w:tc>
          <w:tcPr>
            <w:tcW w:type="dxa" w:w="257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Valoración que pide la instrucción</w:t>
            </w:r>
          </w:p>
        </w:tc>
        <w:tc>
          <w:tcPr>
            <w:tcW w:type="dxa" w:w="176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fisioterapia</w:t>
            </w:r>
          </w:p>
        </w:tc>
        <w:tc>
          <w:tcPr>
            <w:tcW w:type="dxa" w:w="286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medicina de familia</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lateral o medial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L93</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cuestionario PRTEE, pruebas de Cozen y de Thomson, prueba de la silla e indicadores de pronóstico negativo</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sin antecedente traumático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Antecedente traumático en el codo, pérdida de movilidad del codo, la mano o los dedos, o pérdida de sensibilidad en el brazo</w:t>
            </w:r>
          </w:p>
        </w:tc>
      </w:tr>
      <w:tr>
        <w:trPr>
          <w:cantSplit/>
          <w:tblHeader w:val="false"/>
        </w:trPr>
        <w:tc>
          <w:tcPr>
            <w:tcW w:type="dxa" w:w="111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tobillo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L77 y L16</w:t>
            </w:r>
          </w:p>
        </w:tc>
        <w:tc>
          <w:tcPr>
            <w:tcW w:type="dxa" w:w="257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valoración de la función y maniobras dinámicas, con las reglas de Ottawa para descartar lesión ósea</w:t>
            </w:r>
          </w:p>
        </w:tc>
        <w:tc>
          <w:tcPr>
            <w:tcW w:type="dxa" w:w="17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grado I o II</w:t>
            </w:r>
          </w:p>
        </w:tc>
        <w:tc>
          <w:tcPr>
            <w:tcW w:type="dxa" w:w="28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importante con afectación grave de la movilidad, alteración de la sensibilidad del pie e imposibilidad de apoyo</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Fascitis plantar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L87 y L17</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y valoración de la función</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Toda persona con el cuadro clínico descrito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previo o pie con indicación de tratamiento ortopédico</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 PRTEE: Patient-Rated Tennis Elbow Evaluation.</w:t>
      </w:r>
    </w:p>
    <w:p>
      <w:pPr>
        <w:spacing w:after="140"/>
        <w:jc w:val="both"/>
      </w:pPr>
      <w:r>
        <w:rPr>
          <w:rFonts w:ascii="Calibri" w:cs="Calibri" w:eastAsia="Calibri" w:hAnsi="Calibri"/>
        </w:rPr>
        <w:t xml:space="preserve">La instrucción asigna la cita al fisioterapeuta de referencia de la persona, en un hueco de agenda que denomina «V verde» [9]. El personal de la Unidad de Atención al Usuario aplica así una lista cerrada de motivos, y la valoración clínica corresponde al fisioterapeuta. Este reparto de funciones coincide con el paso 2 del circuito de autorreferencia de la sección 6.2.</w:t>
      </w:r>
    </w:p>
    <w:p>
      <w:pPr>
        <w:spacing w:after="140"/>
        <w:jc w:val="both"/>
      </w:pPr>
      <w:r>
        <w:rPr>
          <w:rFonts w:ascii="Calibri" w:cs="Calibri" w:eastAsia="Calibri" w:hAnsi="Calibri"/>
        </w:rPr>
        <w:t xml:space="preserve">La instrucción establece también que el diagnóstico de la epicondilalgia es clínico [9]. Las pruebas complementarias solo proceden si se sospecha otra entidad, y en ese caso la persona debe ser valorada por el médico de familia [9]. En el esguince de tobillo, la instrucción reconoce que la radiología ayuda a descartar lesiones óseas mediante las reglas de Ottawa [9]. Sin embargo, no habilita al fisioterapeuta para solicitarla, de modo que la persona con una regla positiva necesita otra consulta. La sección 7.4 desarrolla esta consecuencia.</w:t>
      </w:r>
    </w:p>
    <w:p>
      <w:pPr>
        <w:spacing w:after="140"/>
        <w:jc w:val="both"/>
      </w:pPr>
      <w:r>
        <w:rPr>
          <w:rFonts w:ascii="Calibri" w:cs="Calibri" w:eastAsia="Calibri" w:hAnsi="Calibri"/>
        </w:rPr>
        <w:t xml:space="preserve">Este documento cita la versión 8 de la instrucción, de julio de 2024 [9]. Su ficha de gestión documental la sitúa en vigor desde febrero de 2023 [9].</w:t>
      </w:r>
    </w:p>
    <w:p>
      <w:pPr>
        <w:pStyle w:val="Heading3"/>
      </w:pPr>
      <w:r>
        <w:rPr>
          <w:rFonts w:ascii="Calibri" w:cs="Calibri" w:eastAsia="Calibri" w:hAnsi="Calibri"/>
        </w:rPr>
        <w:t xml:space="preserve">Andalucía, Baleares y Castilla-La Mancha documentan la derivación directa</w:t>
      </w:r>
    </w:p>
    <w:p>
      <w:pPr>
        <w:spacing w:after="140"/>
        <w:jc w:val="both"/>
      </w:pPr>
      <w:r>
        <w:rPr>
          <w:rFonts w:ascii="Calibri" w:cs="Calibri" w:eastAsia="Calibri" w:hAnsi="Calibri"/>
        </w:rPr>
        <w:t xml:space="preserve">El Servicio Andaluz de Salud implantó en mayo de 2026 la derivación desde medicina de familia a fisioterapia de AP en toda la comunidad [62]. El circuito cubre la lumbalgia, la cervicalgia, la gonalgia, el hombro doloroso, la fascitis plantar y la epicondilitis [62]. La Gerencia de Atención Primaria de Mallorca aprobó en 2023 un protocolo de derivación directa para doce patologías de baja complejidad y alta resolución [64]. El Servicio de Salud de Castilla-La Mancha publicó en 2022 una guía que permite al médico de familia y al pediatra derivar directamente a fisioterapia [67].</w:t>
      </w:r>
    </w:p>
    <w:p>
      <w:pPr>
        <w:pStyle w:val="Heading2"/>
      </w:pPr>
      <w:r>
        <w:rPr>
          <w:rFonts w:ascii="Calibri" w:cs="Calibri" w:eastAsia="Calibri" w:hAnsi="Calibri"/>
        </w:rPr>
        <w:t xml:space="preserve">3.4. Diagnóstico de los modelos vigentes en los documentos profesionales</w:t>
      </w:r>
    </w:p>
    <w:p>
      <w:pPr>
        <w:spacing w:after="140"/>
        <w:jc w:val="both"/>
      </w:pPr>
      <w:r>
        <w:rPr>
          <w:rFonts w:ascii="Calibri" w:cs="Calibri" w:eastAsia="Calibri" w:hAnsi="Calibri"/>
        </w:rPr>
        <w:t xml:space="preserve">Varios documentos profesionales recientes analizan los modelos de Galicia y de Madrid, y coinciden en el diagnóstico.</w:t>
      </w:r>
    </w:p>
    <w:p>
      <w:pPr>
        <w:pStyle w:val="Heading3"/>
      </w:pPr>
      <w:r>
        <w:rPr>
          <w:rFonts w:ascii="Calibri" w:cs="Calibri" w:eastAsia="Calibri" w:hAnsi="Calibri"/>
        </w:rPr>
        <w:t xml:space="preserve">La Sociedade Galega de Fisioterapeutas pidió en 2019 la derivación directa</w:t>
      </w:r>
    </w:p>
    <w:p>
      <w:pPr>
        <w:spacing w:after="140"/>
        <w:jc w:val="both"/>
      </w:pPr>
      <w:r>
        <w:rPr>
          <w:rFonts w:ascii="Calibri" w:cs="Calibri" w:eastAsia="Calibri" w:hAnsi="Calibri"/>
        </w:rPr>
        <w:t xml:space="preserve">La Sociedade Galega de Fisioterapeutas presentó en febrero de 2019 un análisis de la efectividad clínica y del impacto económico de la fisioterapia en AP [8]. Uno de sus autores representaba a la sociedad en el grupo de trabajo del nuevo modelo de AP del SERGAS [8]. El análisis revisó cinco grupos de procesos: el dolor lumbar no específico, el dolor cervical, el síndrome subacromial, el dolor persistente y la patología traumatológica y ortopédica de baja complejidad [8]. También revisó la evidencia internacional sobre la derivación directa desde medicina de familia y sobre el fisioterapeuta de triaje [8].</w:t>
      </w:r>
    </w:p>
    <w:p>
      <w:pPr>
        <w:spacing w:after="140"/>
        <w:jc w:val="both"/>
      </w:pPr>
      <w:r>
        <w:rPr>
          <w:rFonts w:ascii="Calibri" w:cs="Calibri" w:eastAsia="Calibri" w:hAnsi="Calibri"/>
        </w:rPr>
        <w:t xml:space="preserve">Su conclusión pedía implantar la derivación directa desde medicina de familia en el nuevo modelo de AP gallego [8]. Tres años después, el SERGAS incorporó la fisioterapia a su sistema de gestión de la demanda XIDE [76, 77]. Este documento no establece una relación causal entre ambos hechos, porque ninguna fuente la documenta.</w:t>
      </w:r>
    </w:p>
    <w:p>
      <w:pPr>
        <w:spacing w:after="140"/>
        <w:jc w:val="both"/>
      </w:pPr>
      <w:r>
        <w:rPr>
          <w:rFonts w:ascii="Calibri" w:cs="Calibri" w:eastAsia="Calibri" w:hAnsi="Calibri"/>
        </w:rPr>
        <w:t xml:space="preserve">Las secciones siguientes citan directamente los estudios originales que ese análisis revisó, contrastados con sus registros de PubMed.</w:t>
      </w:r>
    </w:p>
    <w:p>
      <w:pPr>
        <w:pStyle w:val="Heading3"/>
      </w:pPr>
      <w:r>
        <w:rPr>
          <w:rFonts w:ascii="Calibri" w:cs="Calibri" w:eastAsia="Calibri" w:hAnsi="Calibri"/>
        </w:rPr>
        <w:t xml:space="preserve">El colegio madrileño propone replantear el papel de la fisioterapia en AP</w:t>
      </w:r>
    </w:p>
    <w:p>
      <w:pPr>
        <w:spacing w:after="140"/>
        <w:jc w:val="both"/>
      </w:pPr>
      <w:r>
        <w:rPr>
          <w:rFonts w:ascii="Calibri" w:cs="Calibri" w:eastAsia="Calibri" w:hAnsi="Calibri"/>
        </w:rPr>
        <w:t xml:space="preserve">El colegio profesional madrileño ha elaborado una propuesta de proyecto piloto para replantear el papel de la fisioterapia en la Gerencia Asistencial de AP [79]. La propuesta describe dos limitaciones del modelo madrileño [79]. La primera es que el acceso depende sobre todo de la derivación desde medicina de familia, salvo los tres procesos de la gestión compartida de la demanda [79]. La segunda es que la persona recibe el alta al terminar el proceso y pierde el contacto con el fisioterapeuta hasta una nueva derivación [79].</w:t>
      </w:r>
    </w:p>
    <w:p>
      <w:pPr>
        <w:spacing w:after="140"/>
        <w:jc w:val="both"/>
      </w:pPr>
      <w:r>
        <w:rPr>
          <w:rFonts w:ascii="Calibri" w:cs="Calibri" w:eastAsia="Calibri" w:hAnsi="Calibri"/>
        </w:rPr>
        <w:t xml:space="preserve">Un trabajo de gestión sobre la Dirección Asistencial Sureste de Madrid añade una tercera limitación [80]. La difusión de la gestión compartida entre la ciudadanía ha sido escasa, y la tarea de preguntar el motivo de consulta recae en las unidades de atención al usuario [80]. Como consecuencia, muchos huecos reservados para la cita directa con fisioterapia quedan sin usar [80].</w:t>
      </w:r>
    </w:p>
    <w:p>
      <w:pPr>
        <w:spacing w:after="140"/>
        <w:jc w:val="both"/>
      </w:pPr>
      <w:r>
        <w:rPr>
          <w:rFonts w:ascii="Calibri" w:cs="Calibri" w:eastAsia="Calibri" w:hAnsi="Calibri"/>
        </w:rPr>
        <w:t xml:space="preserve">La propuesta del colegio plantea una consulta de fisioterapia orientada a la persona, a los grupos y a la comunidad [79]. Sus líneas principales son cuatro [79]:</w:t>
      </w:r>
    </w:p>
    <w:p>
      <w:pPr>
        <w:pStyle w:val="ListParagraph"/>
        <w:numPr>
          <w:ilvl w:val="0"/>
          <w:numId w:val="3"/>
        </w:numPr>
        <w:spacing w:after="60"/>
      </w:pPr>
      <w:r>
        <w:rPr>
          <w:rFonts w:ascii="Calibri" w:cs="Calibri" w:eastAsia="Calibri" w:hAnsi="Calibri"/>
          <w:b/>
          <w:bCs/>
          <w:color w:val="00768E"/>
        </w:rPr>
        <w:t xml:space="preserve">Acceso.</w:t>
      </w:r>
      <w:r>
        <w:rPr>
          <w:rFonts w:ascii="Calibri" w:cs="Calibri" w:eastAsia="Calibri" w:hAnsi="Calibri"/>
        </w:rPr>
        <w:t xml:space="preserve"> Empezar por la derivación desde otros profesionales de AP y avanzar hacia el acceso directo y la consulta a demanda.</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Sustituir el alta por episodio por una atención centrada en la persona.</w:t>
      </w:r>
    </w:p>
    <w:p>
      <w:pPr>
        <w:pStyle w:val="ListParagraph"/>
        <w:numPr>
          <w:ilvl w:val="0"/>
          <w:numId w:val="3"/>
        </w:numPr>
        <w:spacing w:after="60"/>
      </w:pPr>
      <w:r>
        <w:rPr>
          <w:rFonts w:ascii="Calibri" w:cs="Calibri" w:eastAsia="Calibri" w:hAnsi="Calibri"/>
          <w:b/>
          <w:bCs/>
          <w:color w:val="00768E"/>
        </w:rPr>
        <w:t xml:space="preserve">Trabajo grupal y comunitario.</w:t>
      </w:r>
      <w:r>
        <w:rPr>
          <w:rFonts w:ascii="Calibri" w:cs="Calibri" w:eastAsia="Calibri" w:hAnsi="Calibri"/>
        </w:rPr>
        <w:t xml:space="preserve"> Programas de educación para la salud según los procesos prevalentes de cada zona, programas de paciente experto y mapeo de activos comunitarios.</w:t>
      </w:r>
    </w:p>
    <w:p>
      <w:pPr>
        <w:pStyle w:val="ListParagraph"/>
        <w:numPr>
          <w:ilvl w:val="0"/>
          <w:numId w:val="3"/>
        </w:numPr>
        <w:spacing w:after="60"/>
      </w:pPr>
      <w:r>
        <w:rPr>
          <w:rFonts w:ascii="Calibri" w:cs="Calibri" w:eastAsia="Calibri" w:hAnsi="Calibri"/>
          <w:b/>
          <w:bCs/>
          <w:color w:val="00768E"/>
        </w:rPr>
        <w:t xml:space="preserve">Evaluación.</w:t>
      </w:r>
      <w:r>
        <w:rPr>
          <w:rFonts w:ascii="Calibri" w:cs="Calibri" w:eastAsia="Calibri" w:hAnsi="Calibri"/>
        </w:rPr>
        <w:t xml:space="preserve"> Un pilotaje por fases, con indicadores de resultados y de experiencia comunicados por los pacientes.</w:t>
      </w:r>
    </w:p>
    <w:p>
      <w:pPr>
        <w:spacing w:after="140"/>
        <w:jc w:val="both"/>
      </w:pPr>
      <w:r>
        <w:rPr>
          <w:rFonts w:ascii="Calibri" w:cs="Calibri" w:eastAsia="Calibri" w:hAnsi="Calibri"/>
        </w:rPr>
        <w:t xml:space="preserve">Este documento recoge esas líneas. La consulta a demanda para procesos ya diagnosticados corresponde a la recidiva de la matriz del anexo C. Los programas grupales y comunitarios se desarrollan en la sección 5, y la evaluación en la sección 10.</w:t>
      </w:r>
    </w:p>
    <w:p>
      <w:pPr>
        <w:pStyle w:val="Heading2"/>
      </w:pPr>
      <w:r>
        <w:rPr>
          <w:rFonts w:ascii="Calibri" w:cs="Calibri" w:eastAsia="Calibri" w:hAnsi="Calibri"/>
        </w:rPr>
        <w:t xml:space="preserve">3.5. Heterogeneidad e inequidad</w:t>
      </w:r>
    </w:p>
    <w:p>
      <w:pPr>
        <w:spacing w:after="140"/>
        <w:jc w:val="both"/>
      </w:pPr>
      <w:r>
        <w:rPr>
          <w:rFonts w:ascii="Calibri" w:cs="Calibri" w:eastAsia="Calibri" w:hAnsi="Calibri"/>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[39, 77].</w:t>
      </w:r>
    </w:p>
    <w:p>
      <w:pPr>
        <w:spacing w:after="140"/>
        <w:jc w:val="both"/>
      </w:pPr>
      <w:r>
        <w:rPr>
          <w:rFonts w:ascii="Calibri" w:cs="Calibri" w:eastAsia="Calibri" w:hAnsi="Calibri"/>
        </w:rPr>
        <w:t xml:space="preserve">La dotación también difiere en más de diez veces entre comunidades autónomas [57]. Una persona con el mismo proceso puede recibir, por tanto, una atención muy distinta según su lugar de residencia. Esta desigualdad es el argumento principal para un modelo homogéneo en todo el SNS.</w:t>
      </w:r>
    </w:p>
    <w:p>
      <w:pPr>
        <w:pStyle w:val="Heading1"/>
        <w:pageBreakBefore/>
      </w:pPr>
      <w:r>
        <w:rPr>
          <w:rFonts w:ascii="Calibri" w:cs="Calibri" w:eastAsia="Calibri" w:hAnsi="Calibri"/>
        </w:rPr>
        <w:t xml:space="preserve">4. Modelos internacionales de referencia</w:t>
      </w:r>
    </w:p>
    <w:p>
      <w:pPr>
        <w:spacing w:after="140"/>
        <w:jc w:val="both"/>
      </w:pPr>
      <w:r>
        <w:rPr>
          <w:rFonts w:ascii="Calibri" w:cs="Calibri" w:eastAsia="Calibri" w:hAnsi="Calibri"/>
        </w:rPr>
        <w:t xml:space="preserve">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cuentan los fisioterapeutas de todo el sistema sanitario y no los de atención primaria. Además, cada país usa una definición distinta: fisioterapeutas en ejercicio, profesionalmente activos o con licencia. Ninguna cifra de esta sección sirve para fijar una ratio de atención primaria. La dotación que propone este documento sale del modelo de demanda de la sección 9.</w:t>
      </w:r>
    </w:p>
    <w:p>
      <w:pPr>
        <w:pStyle w:val="Heading2"/>
      </w:pPr>
      <w:r>
        <w:rPr>
          <w:rFonts w:ascii="Calibri" w:cs="Calibri" w:eastAsia="Calibri" w:hAnsi="Calibri"/>
        </w:rPr>
        <w:t xml:space="preserve">4.1. Inglaterra y la fisioterapia de primer contacto</w:t>
      </w:r>
    </w:p>
    <w:p>
      <w:pPr>
        <w:spacing w:after="140"/>
        <w:jc w:val="both"/>
      </w:pPr>
      <w:r>
        <w:rPr>
          <w:rFonts w:ascii="Calibri" w:cs="Calibri" w:eastAsia="Calibri" w:hAnsi="Calibri"/>
        </w:rPr>
        <w:t xml:space="preserve">El NHS Long Term Plan de 2019 impulsó equipos multidisciplinares comunitarios ligados a las redes de atención primaria [81]. Desde 2020, las consultas de medicina general pueden financiar la contratación de fisioterapeutas de primer contacto a través del Additional Roles Reimbursement Scheme [13, 82]. NHS England describe el objetivo de que las personas adultas puedan ver a un fisioterapeuta de primer contacto en su centro sin derivación del médico general [13].</w:t>
      </w:r>
    </w:p>
    <w:p>
      <w:pPr>
        <w:spacing w:after="140"/>
        <w:jc w:val="both"/>
      </w:pPr>
      <w:r>
        <w:rPr>
          <w:rFonts w:ascii="Calibri" w:cs="Calibri" w:eastAsia="Calibri" w:hAnsi="Calibri"/>
        </w:rPr>
        <w:t xml:space="preserve">Health Education England publicó en 2020 una hoja de ruta de competencias para este perfil [83]. El documento sitúa la práctica en nivel de máster y organiza catorce capacidades en cuatro dominios [83]. Según esa documentación, el profesional de primer contacto puede solicitar pruebas y derivar a atención hospitalaria por las mismas vías que el médico general [83]. La Chartered Society of Physiotherapy publicó con la British Medical Association y el Royal College of General Practitioners una guía de implantación [84].</w:t>
      </w:r>
    </w:p>
    <w:p>
      <w:pPr>
        <w:spacing w:after="140"/>
        <w:jc w:val="both"/>
      </w:pPr>
      <w:r>
        <w:rPr>
          <w:rFonts w:ascii="Calibri" w:cs="Calibri" w:eastAsia="Calibri" w:hAnsi="Calibri"/>
        </w:rPr>
        <w:t xml:space="preserve">El Reino Unido debatía ya en los años noventa el acceso de los médicos generales a la fisioterapia sin pasar por el especialista hospitalario. Una revisión de 1997 reunió ocho estudios que comparaban distintos modelos de acceso [85]. Sus principales ventajas eran una espera menor, un coste menor por paciente tratado y un coste menor para el propio paciente [85]. Otra revisión del mismo año encontró un coste medio menor cuando el médico general derivaba directamente a fisioterapia que cuando lo hacía el especialista hospitalario [86]. La misma revisión advirtió que la fisioterapia en AP parecía generar más demanda que los demás modelos [86]. El modelo de primer contacto actual se apoya en esa experiencia previa de derivación directa.</w:t>
      </w:r>
    </w:p>
    <w:p>
      <w:pPr>
        <w:spacing w:after="140"/>
        <w:jc w:val="both"/>
      </w:pPr>
      <w:r>
        <w:rPr>
          <w:rFonts w:ascii="Calibri" w:cs="Calibri" w:eastAsia="Calibri" w:hAnsi="Calibri"/>
        </w:rPr>
        <w:t xml:space="preserve">Las evaluaciones publicadas describen el funcionamiento del modelo:</w:t>
      </w:r>
    </w:p>
    <w:p>
      <w:pPr>
        <w:pStyle w:val="ListParagraph"/>
        <w:numPr>
          <w:ilvl w:val="0"/>
          <w:numId w:val="3"/>
        </w:numPr>
        <w:spacing w:after="60"/>
      </w:pPr>
      <w:r>
        <w:rPr>
          <w:rFonts w:ascii="Calibri" w:cs="Calibri" w:eastAsia="Calibri" w:hAnsi="Calibri"/>
        </w:rPr>
        <w:t xml:space="preserve">Goodwin y Hendrick evaluaron más de quinientos pacientes atendidos por fisioterapia como primer contacto en dos consultas de medicina general [87].</w:t>
      </w:r>
    </w:p>
    <w:p>
      <w:pPr>
        <w:pStyle w:val="ListParagraph"/>
        <w:numPr>
          <w:ilvl w:val="0"/>
          <w:numId w:val="3"/>
        </w:numPr>
        <w:spacing w:after="60"/>
      </w:pPr>
      <w:r>
        <w:rPr>
          <w:rFonts w:ascii="Calibri" w:cs="Calibri" w:eastAsia="Calibri" w:hAnsi="Calibri"/>
        </w:rPr>
        <w:t xml:space="preserve">La evaluación nacional de Stynes y colaboradores incluyó 40 centros y 240 fisioterapeutas de primer contacto en Inglaterra [88]. La misma evaluación estudió la satisfacción de los pacientes y la experiencia de los profesionales [89, 90].</w:t>
      </w:r>
    </w:p>
    <w:p>
      <w:pPr>
        <w:pStyle w:val="ListParagraph"/>
        <w:numPr>
          <w:ilvl w:val="0"/>
          <w:numId w:val="3"/>
        </w:numPr>
        <w:spacing w:after="60"/>
      </w:pPr>
      <w:r>
        <w:rPr>
          <w:rFonts w:ascii="Calibri" w:cs="Calibri" w:eastAsia="Calibri" w:hAnsi="Calibri"/>
        </w:rPr>
        <w:t xml:space="preserve">El estudio FRONTIER comparó la atención de primer contacto por fisioterapia con la atención iniciada por el médico general en 426 adultos de 46 consultas [91]. No encontró diferencias en la función física a los seis meses y no identificó problemas de seguridad [91].</w:t>
      </w:r>
    </w:p>
    <w:p>
      <w:pPr>
        <w:pStyle w:val="ListParagraph"/>
        <w:numPr>
          <w:ilvl w:val="0"/>
          <w:numId w:val="3"/>
        </w:numPr>
        <w:spacing w:after="60"/>
      </w:pPr>
      <w:r>
        <w:rPr>
          <w:rFonts w:ascii="Calibri" w:cs="Calibri" w:eastAsia="Calibri" w:hAnsi="Calibri"/>
        </w:rPr>
        <w:t xml:space="preserve">En FRONTIER, el 44,7 % de las personas del grupo de medicina general recibió medicación tras la primera consulta [91]. En los dos grupos de fisioterapia, la proporción fue del 18,4 % y del 24,7 % [91]. El coste mediano para el NHS fue de 105,5 libras por paciente en el grupo médico, frente a 41,0 y 44,0 libras en los grupos de fisioterapia [91, 92].</w:t>
      </w:r>
    </w:p>
    <w:p>
      <w:pPr>
        <w:keepNext/>
        <w:spacing w:after="80" w:before="200"/>
      </w:pPr>
      <w:r>
        <w:rPr>
          <w:rFonts w:ascii="Calibri" w:cs="Calibri" w:eastAsia="Calibri" w:hAnsi="Calibri"/>
          <w:b/>
          <w:bCs/>
          <w:color w:val="0096B1"/>
          <w:sz w:val="19"/>
          <w:szCs w:val="19"/>
        </w:rPr>
        <w:t xml:space="preserve">Tabla 4.1. Elementos del modelo inglés que se toman y que no se piden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2"/>
        <w:gridCol w:w="1547"/>
        <w:gridCol w:w="3011"/>
      </w:tblGrid>
      <w:tr>
        <w:trPr>
          <w:cantSplit/>
          <w:tblHeader/>
        </w:trPr>
        <w:tc>
          <w:tcPr>
            <w:tcW w:type="dxa" w:w="451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 del modelo inglés</w:t>
            </w:r>
          </w:p>
        </w:tc>
        <w:tc>
          <w:tcPr>
            <w:tcW w:type="dxa" w:w="15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toma para el SNS</w:t>
            </w:r>
          </w:p>
        </w:tc>
        <w:tc>
          <w:tcPr>
            <w:tcW w:type="dxa" w:w="30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pide en este documento</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 integrado en el equipo de atención primaria</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principio del modelo organizativo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para procesos musculoesqueléticos sin derivación médica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para procesos protocolizados</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con la matriz del anexo C</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específica ligada a la contratación</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parte</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habilitación normativa limitada (sección 7.4)</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resonancia magnética y otras pruebas avanzadas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 directa a atención hospitalaria sin medicina de familia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salvo el circuito de urgencias</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 de liberar consultas médicas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resultado a evaluar</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presenta como resultado garantizado</w:t>
            </w:r>
          </w:p>
        </w:tc>
      </w:tr>
    </w:tbl>
    <w:p>
      <w:pPr>
        <w:spacing w:after="200" w:before="60"/>
      </w:pPr>
      <w:r>
        <w:rPr>
          <w:rFonts w:ascii="Calibri" w:cs="Calibri" w:eastAsia="Calibri" w:hAnsi="Calibri"/>
          <w:i/>
          <w:iCs/>
          <w:color w:val="8C8C8C"/>
          <w:sz w:val="17"/>
          <w:szCs w:val="17"/>
        </w:rPr>
        <w:t xml:space="preserve">Fuente: elaboración propia a partir de los documentos de NHS England, Health Education England y la Chartered Society of Physiotherapy [13, 83, 84].</w:t>
      </w:r>
    </w:p>
    <w:p>
      <w:pPr>
        <w:pStyle w:val="Heading2"/>
      </w:pPr>
      <w:r>
        <w:rPr>
          <w:rFonts w:ascii="Calibri" w:cs="Calibri" w:eastAsia="Calibri" w:hAnsi="Calibri"/>
        </w:rPr>
        <w:t xml:space="preserve">4.2. Noruega, Países Bajos y Suecia y la autorreferencia normalizada</w:t>
      </w:r>
    </w:p>
    <w:p>
      <w:pPr>
        <w:spacing w:after="140"/>
        <w:jc w:val="both"/>
      </w:pPr>
      <w:r>
        <w:rPr>
          <w:rFonts w:ascii="Calibri" w:cs="Calibri" w:eastAsia="Calibri" w:hAnsi="Calibri"/>
        </w:rPr>
        <w:t xml:space="preserve">Los Países Bajos introdujeron el acceso directo a fisioterapia en 2006 [93]. En el primer año, el 28 % de los pacientes llegó a fisioterapia por acceso directo [93]. Ese mismo estudio observó que el número total de pacientes atendidos no aumentó respecto al año anterior [93]. Los pacientes con acceso directo recibieron además menos sesiones de tratamiento [93]. Una evaluación posterior describió la evolución de la autorreferencia durante cinco años [94]. Según el instituto Nivel, en 2024 el 74,3 % de los pacientes acudió a fisioterapia sin derivación [95]. El coste total del dolor lumbar en los Países Bajos bajó de 4.300 a 3.500 millones de euros entre 2002 y 2007 [25]. Este documento no atribuye ese descenso al acceso directo, porque el estudio no analiza esa relación y el acceso directo empezó en 2006 [25, 93].</w:t>
      </w:r>
    </w:p>
    <w:p>
      <w:pPr>
        <w:spacing w:after="140"/>
        <w:jc w:val="both"/>
      </w:pPr>
      <w:r>
        <w:rPr>
          <w:rFonts w:ascii="Calibri" w:cs="Calibri" w:eastAsia="Calibri" w:hAnsi="Calibri"/>
        </w:rPr>
        <w:t xml:space="preserve">Noruega eliminó el requisito de derivación médica para la fisioterapia financiada el 1 de enero de 2018 [96]. La condición para la financiación pública es que el fisioterapeuta tenga acuerdo con el municipio [96].</w:t>
      </w:r>
    </w:p>
    <w:p>
      <w:pPr>
        <w:spacing w:after="140"/>
        <w:jc w:val="both"/>
      </w:pPr>
      <w:r>
        <w:rPr>
          <w:rFonts w:ascii="Calibri" w:cs="Calibri" w:eastAsia="Calibri" w:hAnsi="Calibri"/>
        </w:rPr>
        <w:t xml:space="preserve">En Suecia, la organización depende de cada región. La región de Estocolmo informa de que no se necesita derivación para contactar con fisioterapia de AP, aunque advierte que otras regiones pueden exigirla [97]. Un ensayo pragmático sueco comparó la valoración inicial por fisioterapia en el centro de salud con la valoración inicial por el médico general [98]. Su evaluación económica encontró un manejo más coste-efectivo cuando la primera valoración la hacía fisioterapia [99]. Ese diseño es un triaje dentro del centro y no un acceso directo nacional, de modo que no debe presentarse como tal. Otro ensayo sueco en AP comparó el acceso a fisioterapia en dos días con una espera de cuatro semanas en el dolor lumbar subagudo [33]. El acceso precoz redujo más el dolor a los seis meses, y sus autores lo consideran viable mediante una reorganización sin recursos adicionales [33].</w:t>
      </w:r>
    </w:p>
    <w:p>
      <w:pPr>
        <w:keepNext/>
        <w:spacing w:after="80" w:before="200"/>
      </w:pPr>
      <w:r>
        <w:rPr>
          <w:rFonts w:ascii="Calibri" w:cs="Calibri" w:eastAsia="Calibri" w:hAnsi="Calibri"/>
          <w:b/>
          <w:bCs/>
          <w:color w:val="0096B1"/>
          <w:sz w:val="19"/>
          <w:szCs w:val="19"/>
        </w:rPr>
        <w:t xml:space="preserve">Tabla 4.2. Elementos de Noruega, Países Bajos y Suecia que se toman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5"/>
        <w:gridCol w:w="4935"/>
      </w:tblGrid>
      <w:tr>
        <w:trPr>
          <w:cantSplit/>
          <w:tblHeader/>
        </w:trPr>
        <w:tc>
          <w:tcPr>
            <w:tcW w:type="dxa" w:w="41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w:t>
            </w:r>
          </w:p>
        </w:tc>
        <w:tc>
          <w:tcPr>
            <w:tcW w:type="dxa" w:w="49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Aplicación en la propuesta</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normalizado</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Legitima la autorreferencia protocolizada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progresivo de la autorreferencia a lo largo de los años</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Justifica un despliegue por fases y un parámetro de captación en el modelo</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pública ligada a un acuerdo con la administración</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Refuerza la integración del fisioterapeuta en la estructura pública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por fisioterapia dentro del centro de salud</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Apoya la consulta de primer contacto del nivel 1</w:t>
            </w:r>
          </w:p>
        </w:tc>
      </w:tr>
    </w:tbl>
    <w:p>
      <w:pPr>
        <w:spacing w:after="200" w:before="60"/>
      </w:pPr>
      <w:r>
        <w:rPr>
          <w:rFonts w:ascii="Calibri" w:cs="Calibri" w:eastAsia="Calibri" w:hAnsi="Calibri"/>
          <w:i/>
          <w:iCs/>
          <w:color w:val="8C8C8C"/>
          <w:sz w:val="17"/>
          <w:szCs w:val="17"/>
        </w:rPr>
        <w:t xml:space="preserve">Fuente: elaboración propia a partir de los documentos citados en la sección 4.2 [93, 95-97].</w:t>
      </w:r>
    </w:p>
    <w:p>
      <w:pPr>
        <w:pStyle w:val="Heading2"/>
      </w:pPr>
      <w:r>
        <w:rPr>
          <w:rFonts w:ascii="Calibri" w:cs="Calibri" w:eastAsia="Calibri" w:hAnsi="Calibri"/>
        </w:rPr>
        <w:t xml:space="preserve">4.3. Australia y Canadá</w:t>
      </w:r>
    </w:p>
    <w:p>
      <w:pPr>
        <w:spacing w:after="140"/>
        <w:jc w:val="both"/>
      </w:pPr>
      <w:r>
        <w:rPr>
          <w:rFonts w:ascii="Calibri" w:cs="Calibri" w:eastAsia="Calibri" w:hAnsi="Calibri"/>
        </w:rPr>
        <w:t xml:space="preserve">La Australian Physiotherapy Association describe la práctica avanzada y el primer contacto, incluida la solicitud de imagen en algunos servicios de urgencias [100]. La Canadian Physiotherapy Association reconoce el acceso directo, pero advierte que la práctica cambia entre provincias [101]. Ambos sistemas se citan solo como referencia de equipos interprofesionales, porque la cobertura pública de la fisioterapia es distinta de la española.</w:t>
      </w:r>
    </w:p>
    <w:p>
      <w:pPr>
        <w:spacing w:after="140"/>
        <w:jc w:val="both"/>
      </w:pPr>
      <w:r>
        <w:rPr>
          <w:rFonts w:ascii="Calibri" w:cs="Calibri" w:eastAsia="Calibri" w:hAnsi="Calibri"/>
        </w:rPr>
        <w:t xml:space="preserve">Canadá ha evaluado con detalle el triaje por fisioterapia en la interfaz con cirugía ortopédica. En Columbia Británica, Napier y colaboradores compararon las decisiones de manejo quirúrgico del fisioterapeuta y del cirujano [102]. La concordancia entre ambos fue sustancial, con un índice kappa ponderado de 0,77 [102]. En Saskatchewan, un programa de triaje de columna clasificó el 92,5 % de los casos como columna mecánica y solo el 2 % como columna quirúrgica [103]. Entre las personas que el programa derivó al cirujano, el 80 % resultó candidata a cirugía [103].</w:t>
      </w:r>
    </w:p>
    <w:p>
      <w:pPr>
        <w:spacing w:after="140"/>
        <w:jc w:val="both"/>
      </w:pPr>
      <w:r>
        <w:rPr>
          <w:rFonts w:ascii="Calibri" w:cs="Calibri" w:eastAsia="Calibri" w:hAnsi="Calibri"/>
        </w:rPr>
        <w:t xml:space="preserve">En Ontario, un grupo de investigación diseñó un ensayo por conglomerados para evaluar un modelo de AP liderado por fisioterapia para el dolor lumbar [104]. PubMed no recoge todavía los resultados del estudio piloto. Este documento cita el protocolo solo como muestra de que otros sistemas públicos están evaluando el mismo modelo.</w:t>
      </w:r>
    </w:p>
    <w:p>
      <w:pPr>
        <w:pStyle w:val="Heading2"/>
      </w:pPr>
      <w:r>
        <w:rPr>
          <w:rFonts w:ascii="Calibri" w:cs="Calibri" w:eastAsia="Calibri" w:hAnsi="Calibri"/>
        </w:rPr>
        <w:t xml:space="preserve">4.4. Triaje musculoesquelético por fisioterapia y tasa de conversión quirúrgica</w:t>
      </w:r>
    </w:p>
    <w:p>
      <w:pPr>
        <w:spacing w:after="140"/>
        <w:jc w:val="both"/>
      </w:pPr>
      <w:r>
        <w:rPr>
          <w:rFonts w:ascii="Calibri" w:cs="Calibri" w:eastAsia="Calibri" w:hAnsi="Calibri"/>
        </w:rPr>
        <w:t xml:space="preserve">El triaje musculoesquelético es un modelo distinto del acceso directo. En él, un fisioterapeuta de práctica avanzada valora a las personas ya derivadas a traumatología o a una unidad de columna. El fisioterapeuta decide si la persona necesita ver al cirujano o puede seguir un tratamiento conservador. La tasa de conversión quirúrgica mide el porcentaje de personas derivadas al cirujano que terminan con indicación de cirugía.</w:t>
      </w:r>
    </w:p>
    <w:p>
      <w:pPr>
        <w:spacing w:after="140"/>
        <w:jc w:val="both"/>
      </w:pPr>
      <w:r>
        <w:rPr>
          <w:rFonts w:ascii="Calibri" w:cs="Calibri" w:eastAsia="Calibri" w:hAnsi="Calibri"/>
        </w:rPr>
        <w:t xml:space="preserve">Este documento no pide implantar el triaje en la interfaz con atención hospitalaria. Sin embargo, su evidencia informa sobre dos capacidades que la propuesta sí usa: la precisión diagnóstica del fisioterapeuta y su capacidad para seleccionar a quién derivar.</w:t>
      </w:r>
    </w:p>
    <w:p>
      <w:pPr>
        <w:keepNext/>
        <w:spacing w:after="80" w:before="200"/>
      </w:pPr>
      <w:r>
        <w:rPr>
          <w:rFonts w:ascii="Calibri" w:cs="Calibri" w:eastAsia="Calibri" w:hAnsi="Calibri"/>
          <w:b/>
          <w:bCs/>
          <w:color w:val="0096B1"/>
          <w:sz w:val="19"/>
          <w:szCs w:val="19"/>
        </w:rPr>
        <w:t xml:space="preserve">Tabla 4.3. Estudios y revisiones sobre triaje musculoesquelético por fisioterapia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7"/>
        <w:gridCol w:w="1634"/>
        <w:gridCol w:w="2020"/>
        <w:gridCol w:w="3509"/>
      </w:tblGrid>
      <w:tr>
        <w:trPr>
          <w:cantSplit/>
          <w:tblHeader/>
        </w:trPr>
        <w:tc>
          <w:tcPr>
            <w:tcW w:type="dxa" w:w="190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16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Ámbito</w:t>
            </w:r>
          </w:p>
        </w:tc>
        <w:tc>
          <w:tcPr>
            <w:tcW w:type="dxa" w:w="202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Diseño</w:t>
            </w:r>
          </w:p>
        </w:tc>
        <w:tc>
          <w:tcPr>
            <w:tcW w:type="dxa" w:w="350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principal</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Napier y colaboradores, 2013 [102]</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Columbia Británica, Canadá</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prospectivo en dos centros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91 % en las derivaciones del fisioterapeuta, frente al 22 % en las del médico general o de urgencias</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Bath y colaboradores, 2012 [103]</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Saskatchewan, Canadá</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retrospectiva de historias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de los casos se clasificó como columna quirúrgica, y el 80 % de las derivaciones al cirujano resultó candidata a cirugía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Wood y colaboradores, 2016 [40]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columna, Reino Unido</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retrospectiva de 2.651 personas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92 % se resolvió sin el cirujano, y el 81 % de las derivaciones al cirujano fue adecuado</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Candy y colaboradores, 2016 [41]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Gales, Reino Unido</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de servicio con 2.362 altas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volvió a atención hospitalaria por el mismo problema entre doce y dieciocho meses después</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Oakley y Shacklady, 2015 [105]</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 estudios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favorables en todos los estudios, con buena capacidad diagnóstica frente a un patrón de referencia como la cirugía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Samsson y colaboradores, 2020 [106]</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ensayos y 11 cohortes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55 % al 91 % con triaje por fisioterapia, frente al 22 % al 38 % sin él, con certeza baja a moderada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2020 [107]</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ensayo y 31 estudios observacionales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Concordancia diagnóstica con el cirujano del 65 % al 100 % y ahorro del 27 % al 49 % en la valoración diagnóstica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Lafrance y colaboradores, 2023 [108]</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 con metaanálisis</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19 estudios de concordancia y 6 ensayos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Kappa de 0,76 para la concordancia diagnóstica con el médico y de 0,71 para la decisión quirúrgica</w:t>
            </w:r>
          </w:p>
        </w:tc>
      </w:tr>
    </w:tbl>
    <w:p>
      <w:pPr>
        <w:spacing w:after="200" w:before="60"/>
      </w:pPr>
      <w:r>
        <w:rPr>
          <w:rFonts w:ascii="Calibri" w:cs="Calibri" w:eastAsia="Calibri" w:hAnsi="Calibri"/>
          <w:i/>
          <w:iCs/>
          <w:color w:val="8C8C8C"/>
          <w:sz w:val="17"/>
          <w:szCs w:val="17"/>
        </w:rPr>
        <w:t xml:space="preserve">Fuente: elaboración propia a partir de los resúmenes de PubMed de cada estudio [40, 41, 102, 103, 105-108].</w:t>
      </w:r>
    </w:p>
    <w:p>
      <w:pPr>
        <w:spacing w:after="140"/>
        <w:jc w:val="both"/>
      </w:pPr>
      <w:r>
        <w:rPr>
          <w:rFonts w:ascii="Calibri" w:cs="Calibri" w:eastAsia="Calibri" w:hAnsi="Calibri"/>
        </w:rPr>
        <w:t xml:space="preserve">Las revisiones más recientes tienen mayor peso que los estudios aislados. Lafrance y colaboradores encontraron, con certeza moderada, una concordancia diagnóstica alta entre el fisioterapeuta de práctica avanzada y el médico [108]. La concordancia en la decisión quirúrgica también fue alta, con certeza alta [108]. Samsson y colaboradores hallaron además tiempos de espera más cortos en un ensayo y en una cohorte, y un coste menor en un ensayo [106].</w:t>
      </w:r>
    </w:p>
    <w:p>
      <w:pPr>
        <w:spacing w:after="140"/>
        <w:jc w:val="both"/>
      </w:pPr>
      <w:r>
        <w:rPr>
          <w:rFonts w:ascii="Calibri" w:cs="Calibri" w:eastAsia="Calibri" w:hAnsi="Calibri"/>
        </w:rPr>
        <w:t xml:space="preserve">Dos cautelas limitan la lectura de estos datos. La primera es que los estudios aislados son evaluaciones de servicio sin grupo control. La segunda es que el 81 % de Wood y colaboradores mide la adecuación de la derivación y no la cirugía realizada [40].</w:t>
      </w:r>
    </w:p>
    <w:p>
      <w:pPr>
        <w:pStyle w:val="Heading2"/>
      </w:pPr>
      <w:r>
        <w:rPr>
          <w:rFonts w:ascii="Calibri" w:cs="Calibri" w:eastAsia="Calibri" w:hAnsi="Calibri"/>
        </w:rPr>
        <w:t xml:space="preserve">4.5. Síntesis de la evidencia sobre acceso directo</w:t>
      </w:r>
    </w:p>
    <w:p>
      <w:pPr>
        <w:spacing w:after="140"/>
        <w:jc w:val="both"/>
      </w:pPr>
      <w:r>
        <w:rPr>
          <w:rFonts w:ascii="Calibri" w:cs="Calibri" w:eastAsia="Calibri" w:hAnsi="Calibri"/>
        </w:rPr>
        <w:t xml:space="preserve">Las revisiones sistemáticas disponibles comparan el acceso directo con la atención iniciada por el médico. Ojha y colaboradores incluyeron ocho estudios observacionales y no encontraron evidencia de daño [29]. Piscitelli y colaboradores revisaron trece estudios sobre viabilidad, efectividad, costes, seguridad y satisfacción [109]. Demont y colaboradores incluyeron dieciocho estudios de calidad débil a moderada [110]. Babatunde y colaboradores concluyeron que el dolor y la discapacidad no difieren mucho entre ambos modelos [111]. La misma revisión encontró un uso menor de servicios y menos ausencia laboral con el acceso directo, con una evidencia consistente pero limitada [111].</w:t>
      </w:r>
    </w:p>
    <w:p>
      <w:pPr>
        <w:spacing w:after="140"/>
        <w:jc w:val="both"/>
      </w:pPr>
      <w:r>
        <w:rPr>
          <w:rFonts w:ascii="Calibri" w:cs="Calibri" w:eastAsia="Calibri" w:hAnsi="Calibri"/>
        </w:rPr>
        <w:t xml:space="preserve">Las revisiones más recientes aportan estimaciones cuantitativas. Gallotti y colaboradores revisaron 28 artículos y no encontraron eventos adversos en ninguno de ellos [112]. Abuhl y colaboradores combinaron diez ensayos aleatorizados con 2.081 pacientes [31]. El primer contacto por fisioterapia redujo la solicitud de imagen, con un riesgo relativo de 0,55, y la medicación, con un riesgo relativo de 0,29 [31]. Una revisión de práctica avanzada llegó a conclusiones favorables sobre la efectividad de este perfil [113].</w:t>
      </w:r>
    </w:p>
    <w:p>
      <w:pPr>
        <w:spacing w:after="140"/>
        <w:jc w:val="both"/>
      </w:pPr>
      <w:r>
        <w:rPr>
          <w:rFonts w:ascii="Calibri" w:cs="Calibri" w:eastAsia="Calibri" w:hAnsi="Calibri"/>
        </w:rPr>
        <w:t xml:space="preserve">El efecto sobre la carga de medicina de familia es heterogéneo, y este documento lo presenta como un resultado posible y no garantizado. El estudio STEMS-2 analizó seis años de datos de cuatro consultas inglesas antes y después de abrir la autorreferencia [114]. No encontró un efecto consistente sobre las consultas musculoesqueléticas de medicina general [114]. La autorreferencia real supuso solo el 10 % y el 6 % de las entradas a fisioterapia en los dos brazos del estudio [114]. En cambio, una revisión de 2026 reunió 21 estudios con 90.401 pacientes [115]. En 15 de esos estudios, el acceso directo se asoció a entre un 10 % y un 30 % menos de consultas de medicina general [115]. La certeza de la evidencia fue baja o muy baja en 17 de las 19 evaluaciones GRADE de la revisión [115]. Por eso este documento defiende el acceso directo sin presentar esa reducción como un efecto demostrado. Un metaanálisis del mismo grupo encontró menos prescripción, con un riesgo relativo de 0,57 y una certeza baja [116].</w:t>
      </w:r>
    </w:p>
    <w:p>
      <w:pPr>
        <w:spacing w:after="140"/>
        <w:jc w:val="both"/>
      </w:pPr>
      <w:r>
        <w:rPr>
          <w:rFonts w:ascii="Calibri" w:cs="Calibri" w:eastAsia="Calibri" w:hAnsi="Calibri"/>
        </w:rPr>
        <w:t xml:space="preserve">La intensidad del tratamiento también se ha estudiado. Una revisión de ocho ensayos con 1.153 personas con dolor lumbar comparó dos o menos visitas de fisioterapia con tres o más [117]. Al año no encontró diferencias en dolor, discapacidad ni calidad de vida [117]. Sin embargo, dos de los tres estudios con análisis económico encontraron más coste-efectivo el uso mayor [117]. Este resultado apoya un modelo que ajuste el número de sesiones a la necesidad y no a una pauta fija.</w:t>
      </w:r>
    </w:p>
    <w:p>
      <w:pPr>
        <w:spacing w:after="140"/>
        <w:jc w:val="both"/>
      </w:pPr>
      <w:r>
        <w:rPr>
          <w:rFonts w:ascii="Calibri" w:cs="Calibri" w:eastAsia="Calibri" w:hAnsi="Calibri"/>
        </w:rPr>
        <w:t xml:space="preserve">La percepción ciudadana del acceso directo es otro factor. En una encuesta telefónica en Florida, el 67,3 % de las personas no conocía la posibilidad de acceso directo, pero el 73,4 % declaró que acudiría directamente al fisioterapeuta [118]. El dato procede de otro sistema sanitario, pero anticipa la necesidad de informar a la ciudadanía que recoge la tabla 11.2.</w:t>
      </w:r>
    </w:p>
    <w:p>
      <w:pPr>
        <w:keepNext/>
        <w:spacing w:after="80" w:before="200"/>
      </w:pPr>
      <w:r>
        <w:rPr>
          <w:rFonts w:ascii="Calibri" w:cs="Calibri" w:eastAsia="Calibri" w:hAnsi="Calibri"/>
          <w:b/>
          <w:bCs/>
          <w:color w:val="0096B1"/>
          <w:sz w:val="19"/>
          <w:szCs w:val="19"/>
        </w:rPr>
        <w:t xml:space="preserve">Tabla 4.4. Síntesis de la evidencia por tipo de resultado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508"/>
        <w:gridCol w:w="4034"/>
      </w:tblGrid>
      <w:tr>
        <w:trPr>
          <w:cantSplit/>
          <w:tblHeader/>
        </w:trPr>
        <w:tc>
          <w:tcPr>
            <w:tcW w:type="dxa" w:w="15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35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Dirección del efecto del acceso directo</w:t>
            </w:r>
          </w:p>
        </w:tc>
        <w:tc>
          <w:tcPr>
            <w:tcW w:type="dxa" w:w="40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Certeza y comentario</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Seguridad</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eventos adversos atribuibles en las revisiones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Consistente entre revisiones [29, 112, 115]</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y función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diferencias relevantes frente a la atención médica</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Ensayos y revisiones [91, 111]</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Pruebas de imagen</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solicitudes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de ensayos [31]</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Medicación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prescripción</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con certeza baja a moderada [31, 116]</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en la mayoría de los estudios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Entornos distintos del español [30, 91, 99]</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general</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Heterogéneo</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efecto consistente en STEMS-2 y reducción asociada en una revisión con certeza baja o muy baja [114, 115]</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Captación de la autorreferencia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al inicio y creciente con los años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Datos del Reino Unido y de los Países Bajos [93, 95, 114]</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uso posterior de servicios y menor coste con la fisioterapia precoz</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estudio observacional y dos ensayos con efectos modestos [32-34]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cuando deriva el fisioterapeuta de triaje</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 certeza baja a moderada, fuera del acceso directo [106]</w:t>
            </w:r>
          </w:p>
        </w:tc>
      </w:tr>
    </w:tbl>
    <w:p>
      <w:pPr>
        <w:spacing w:after="200" w:before="60"/>
      </w:pPr>
      <w:r>
        <w:rPr>
          <w:rFonts w:ascii="Calibri" w:cs="Calibri" w:eastAsia="Calibri" w:hAnsi="Calibri"/>
          <w:i/>
          <w:iCs/>
          <w:color w:val="8C8C8C"/>
          <w:sz w:val="17"/>
          <w:szCs w:val="17"/>
        </w:rPr>
        <w:t xml:space="preserve">Fuente: elaboración propia a partir de las revisiones y estudios citados en cada fila.</w:t>
      </w:r>
    </w:p>
    <w:p>
      <w:pPr>
        <w:pStyle w:val="Heading2"/>
      </w:pPr>
      <w:r>
        <w:rPr>
          <w:rFonts w:ascii="Calibri" w:cs="Calibri" w:eastAsia="Calibri" w:hAnsi="Calibri"/>
        </w:rPr>
        <w:t xml:space="preserve">4.6. Densidad de fisioterapeutas en Europa</w:t>
      </w:r>
    </w:p>
    <w:p>
      <w:pPr>
        <w:spacing w:after="140"/>
        <w:jc w:val="both"/>
      </w:pPr>
      <w:r>
        <w:rPr>
          <w:rFonts w:ascii="Calibri" w:cs="Calibri" w:eastAsia="Calibri" w:hAnsi="Calibri"/>
        </w:rPr>
        <w:t xml:space="preserve">Según Eurostat, en 2021 trabajaban en la Unión Europea 611.000 fisioterapeutas, con una media de 136,7 por 100.000 habitantes [119]. Alemania alcanzaba 234,4 y Bélgica 215,9, mientras que Rumanía se situaba en 12,7 [119]. En 2023, la media de la Unión llegó a 149 por 100.000 habitantes [120]. Estas cifras cuentan todos los ámbitos asistenciales, como indica la advertencia inicial de esta sección.</w:t>
      </w:r>
    </w:p>
    <w:p>
      <w:pPr>
        <w:keepNext/>
        <w:spacing w:after="80" w:before="200"/>
      </w:pPr>
      <w:r>
        <w:rPr>
          <w:rFonts w:ascii="Calibri" w:cs="Calibri" w:eastAsia="Calibri" w:hAnsi="Calibri"/>
          <w:b/>
          <w:bCs/>
          <w:color w:val="0096B1"/>
          <w:sz w:val="19"/>
          <w:szCs w:val="19"/>
        </w:rPr>
        <w:t xml:space="preserve">Tabla 4.5. Fisioterapeutas por 100.000 habitantes en la Unión Europea y en países seleccionados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3"/>
        <w:gridCol w:w="2068"/>
        <w:gridCol w:w="1979"/>
        <w:gridCol w:w="3640"/>
      </w:tblGrid>
      <w:tr>
        <w:trPr>
          <w:cantSplit/>
          <w:tblHeader/>
        </w:trPr>
        <w:tc>
          <w:tcPr>
            <w:tcW w:type="dxa" w:w="13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Territorio</w:t>
            </w:r>
          </w:p>
        </w:tc>
        <w:tc>
          <w:tcPr>
            <w:tcW w:type="dxa" w:w="20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2021</w:t>
            </w:r>
          </w:p>
        </w:tc>
        <w:tc>
          <w:tcPr>
            <w:tcW w:type="dxa" w:w="1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2023</w:t>
            </w:r>
          </w:p>
        </w:tc>
        <w:tc>
          <w:tcPr>
            <w:tcW w:type="dxa" w:w="36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Alemania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234,4</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Bélgica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215,9</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228</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Países Bajos</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188</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Rumanía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Unión Europea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136,7</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149</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los Estados miembros</w:t>
            </w:r>
          </w:p>
        </w:tc>
      </w:tr>
    </w:tbl>
    <w:p>
      <w:pPr>
        <w:spacing w:after="200" w:before="60"/>
      </w:pPr>
      <w:r>
        <w:rPr>
          <w:rFonts w:ascii="Calibri" w:cs="Calibri" w:eastAsia="Calibri" w:hAnsi="Calibri"/>
          <w:i/>
          <w:iCs/>
          <w:color w:val="8C8C8C"/>
          <w:sz w:val="17"/>
          <w:szCs w:val="17"/>
        </w:rPr>
        <w:t xml:space="preserve">Fuente: Eurostat [119, 120]. Algunos países notifican fisioterapeutas profesionalmente activos o con licencia, según las notas metodológicas de Eurostat.</w:t>
      </w:r>
    </w:p>
    <w:p>
      <w:pPr>
        <w:spacing w:after="140"/>
        <w:jc w:val="both"/>
      </w:pPr>
      <w:r>
        <w:rPr>
          <w:rFonts w:ascii="Calibri" w:cs="Calibri" w:eastAsia="Calibri" w:hAnsi="Calibri"/>
        </w:rPr>
        <w:t xml:space="preserve">El censo anual de World Physiotherapy de 2024 estimó una media mundial de 3,6 fisioterapeutas por 10.000 habitantes [121]. En ese censo, el 39 % de las organizaciones nacionales declaró acceso directo pleno en su país [121]. Una encuesta anterior de Bury y Stokes encontró acceso directo en el 58 % de los países que respondieron, con más frecuencia en el ámbito privado [122].</w:t>
      </w:r>
    </w:p>
    <w:p>
      <w:pPr>
        <w:pStyle w:val="Heading1"/>
        <w:pageBreakBefore/>
      </w:pPr>
      <w:r>
        <w:rPr>
          <w:rFonts w:ascii="Calibri" w:cs="Calibri" w:eastAsia="Calibri" w:hAnsi="Calibri"/>
        </w:rPr>
        <w:t xml:space="preserve">5. Modelo organizativo propuesto</w:t>
      </w:r>
    </w:p>
    <w:p>
      <w:pPr>
        <w:spacing w:after="140"/>
        <w:jc w:val="both"/>
      </w:pPr>
      <w:r>
        <w:rPr>
          <w:rFonts w:ascii="Calibri" w:cs="Calibri" w:eastAsia="Calibri" w:hAnsi="Calibri"/>
        </w:rPr>
        <w:t xml:space="preserve">Esta sección define cómo se organiza la fisioterapia dentro del equipo de AP. Describe tres niveles de atención comunitaria, las funciones clínicas, los programas grupales y comunitarios y las modalidades asistenciales. Cada programa grupal tiene una ficha en el anexo A con las horas de fisioterapia que consume. Esas horas alimentan el modelo de dotación de la sección 9.</w:t>
      </w:r>
    </w:p>
    <w:p>
      <w:pPr>
        <w:pStyle w:val="Heading2"/>
      </w:pPr>
      <w:r>
        <w:rPr>
          <w:rFonts w:ascii="Calibri" w:cs="Calibri" w:eastAsia="Calibri" w:hAnsi="Calibri"/>
        </w:rPr>
        <w:t xml:space="preserve">5.1. Principios</w:t>
      </w:r>
    </w:p>
    <w:p>
      <w:pPr>
        <w:spacing w:after="140"/>
        <w:jc w:val="both"/>
      </w:pPr>
      <w:r>
        <w:rPr>
          <w:rFonts w:ascii="Calibri" w:cs="Calibri" w:eastAsia="Calibri" w:hAnsi="Calibri"/>
        </w:rPr>
        <w:t xml:space="preserve">El modelo se apoya en nueve principios:</w:t>
      </w:r>
    </w:p>
    <w:p>
      <w:pPr>
        <w:pStyle w:val="ListParagraph"/>
        <w:numPr>
          <w:ilvl w:val="0"/>
          <w:numId w:val="3"/>
        </w:numPr>
        <w:spacing w:after="60"/>
      </w:pPr>
      <w:r>
        <w:rPr>
          <w:rFonts w:ascii="Calibri" w:cs="Calibri" w:eastAsia="Calibri" w:hAnsi="Calibri"/>
          <w:b/>
          <w:bCs/>
          <w:color w:val="00768E"/>
        </w:rPr>
        <w:t xml:space="preserve">Integración en el equipo.</w:t>
      </w:r>
      <w:r>
        <w:rPr>
          <w:rFonts w:ascii="Calibri" w:cs="Calibri" w:eastAsia="Calibri" w:hAnsi="Calibri"/>
        </w:rPr>
        <w:t xml:space="preserve"> El fisioterapeuta forma parte del equipo de AP de cada zona básica de salud como miembro de pleno derecho, con una cartera propia, y no como personal de apoyo.</w:t>
      </w:r>
    </w:p>
    <w:p>
      <w:pPr>
        <w:pStyle w:val="ListParagraph"/>
        <w:numPr>
          <w:ilvl w:val="0"/>
          <w:numId w:val="3"/>
        </w:numPr>
        <w:spacing w:after="60"/>
      </w:pPr>
      <w:r>
        <w:rPr>
          <w:rFonts w:ascii="Calibri" w:cs="Calibri" w:eastAsia="Calibri" w:hAnsi="Calibri"/>
          <w:b/>
          <w:bCs/>
          <w:color w:val="00768E"/>
        </w:rPr>
        <w:t xml:space="preserve">Consulta propia.</w:t>
      </w:r>
      <w:r>
        <w:rPr>
          <w:rFonts w:ascii="Calibri" w:cs="Calibri" w:eastAsia="Calibri" w:hAnsi="Calibri"/>
        </w:rPr>
        <w:t xml:space="preserve"> Cada zona básica dispone de consulta de fisioterapia con espacio físico propio o compartido de forma estable.</w:t>
      </w:r>
    </w:p>
    <w:p>
      <w:pPr>
        <w:pStyle w:val="ListParagraph"/>
        <w:numPr>
          <w:ilvl w:val="0"/>
          <w:numId w:val="3"/>
        </w:numPr>
        <w:spacing w:after="60"/>
      </w:pPr>
      <w:r>
        <w:rPr>
          <w:rFonts w:ascii="Calibri" w:cs="Calibri" w:eastAsia="Calibri" w:hAnsi="Calibri"/>
          <w:b/>
          <w:bCs/>
          <w:color w:val="00768E"/>
        </w:rPr>
        <w:t xml:space="preserve">Agenda propia.</w:t>
      </w:r>
      <w:r>
        <w:rPr>
          <w:rFonts w:ascii="Calibri" w:cs="Calibri" w:eastAsia="Calibri" w:hAnsi="Calibri"/>
        </w:rPr>
        <w:t xml:space="preserve"> La agenda de fisioterapia admite citas por todas las vías de entrada de la sección 6.</w:t>
      </w:r>
    </w:p>
    <w:p>
      <w:pPr>
        <w:pStyle w:val="ListParagraph"/>
        <w:numPr>
          <w:ilvl w:val="0"/>
          <w:numId w:val="3"/>
        </w:numPr>
        <w:spacing w:after="60"/>
      </w:pPr>
      <w:r>
        <w:rPr>
          <w:rFonts w:ascii="Calibri" w:cs="Calibri" w:eastAsia="Calibri" w:hAnsi="Calibri"/>
          <w:b/>
          <w:bCs/>
          <w:color w:val="00768E"/>
        </w:rPr>
        <w:t xml:space="preserve">Historia clínica compartida.</w:t>
      </w:r>
      <w:r>
        <w:rPr>
          <w:rFonts w:ascii="Calibri" w:cs="Calibri" w:eastAsia="Calibri" w:hAnsi="Calibri"/>
        </w:rPr>
        <w:t xml:space="preserve"> El fisioterapeuta registra su actividad en la misma historia clínica que el resto del equipo.</w:t>
      </w:r>
    </w:p>
    <w:p>
      <w:pPr>
        <w:pStyle w:val="ListParagraph"/>
        <w:numPr>
          <w:ilvl w:val="0"/>
          <w:numId w:val="3"/>
        </w:numPr>
        <w:spacing w:after="60"/>
      </w:pPr>
      <w:r>
        <w:rPr>
          <w:rFonts w:ascii="Calibri" w:cs="Calibri" w:eastAsia="Calibri" w:hAnsi="Calibri"/>
          <w:b/>
          <w:bCs/>
          <w:color w:val="00768E"/>
        </w:rPr>
        <w:t xml:space="preserve">Intervenciones activas.</w:t>
      </w:r>
      <w:r>
        <w:rPr>
          <w:rFonts w:ascii="Calibri" w:cs="Calibri" w:eastAsia="Calibri" w:hAnsi="Calibri"/>
        </w:rPr>
        <w:t xml:space="preserve"> El plan de intervención prioriza la educación, el ejercicio terapéutico, la actividad física y el automanejo. La terapia manual y los medios físicos complementan esas intervenciones cuando están indicados y tienen respaldo en la evidencia. El número de sesiones se ajusta a la necesidad y a la respuesta de cada persona, y no a una pauta fija.</w:t>
      </w:r>
    </w:p>
    <w:p>
      <w:pPr>
        <w:pStyle w:val="ListParagraph"/>
        <w:numPr>
          <w:ilvl w:val="0"/>
          <w:numId w:val="3"/>
        </w:numPr>
        <w:spacing w:after="60"/>
      </w:pPr>
      <w:r>
        <w:rPr>
          <w:rFonts w:ascii="Calibri" w:cs="Calibri" w:eastAsia="Calibri" w:hAnsi="Calibri"/>
          <w:b/>
          <w:bCs/>
          <w:color w:val="00768E"/>
        </w:rPr>
        <w:t xml:space="preserve">Tiempo protegido.</w:t>
      </w:r>
      <w:r>
        <w:rPr>
          <w:rFonts w:ascii="Calibri" w:cs="Calibri" w:eastAsia="Calibri" w:hAnsi="Calibri"/>
        </w:rPr>
        <w:t xml:space="preserve"> La jornada reserva tiempo para la actividad comunitaria no clínica, la docencia, la investigación y la coordinación. El modelo de dotación de la sección 9 lo incluye de forma explícita.</w:t>
      </w:r>
    </w:p>
    <w:p>
      <w:pPr>
        <w:pStyle w:val="ListParagraph"/>
        <w:numPr>
          <w:ilvl w:val="0"/>
          <w:numId w:val="3"/>
        </w:numPr>
        <w:spacing w:after="60"/>
      </w:pPr>
      <w:r>
        <w:rPr>
          <w:rFonts w:ascii="Calibri" w:cs="Calibri" w:eastAsia="Calibri" w:hAnsi="Calibri"/>
          <w:b/>
          <w:bCs/>
          <w:color w:val="00768E"/>
        </w:rPr>
        <w:t xml:space="preserve">Coordinación territorial.</w:t>
      </w:r>
      <w:r>
        <w:rPr>
          <w:rFonts w:ascii="Calibri" w:cs="Calibri" w:eastAsia="Calibri" w:hAnsi="Calibri"/>
        </w:rPr>
        <w:t xml:space="preserve"> Cada gerencia o área de AP con tamaño suficiente cuenta con una coordinación de fisioterapia, que responde de la cartera, la calidad y la formación (sección 11.4).</w:t>
      </w:r>
    </w:p>
    <w:p>
      <w:pPr>
        <w:pStyle w:val="ListParagraph"/>
        <w:numPr>
          <w:ilvl w:val="0"/>
          <w:numId w:val="3"/>
        </w:numPr>
        <w:spacing w:after="60"/>
      </w:pPr>
      <w:r>
        <w:rPr>
          <w:rFonts w:ascii="Calibri" w:cs="Calibri" w:eastAsia="Calibri" w:hAnsi="Calibri"/>
          <w:b/>
          <w:bCs/>
          <w:color w:val="00768E"/>
        </w:rPr>
        <w:t xml:space="preserve">Medición común.</w:t>
      </w:r>
      <w:r>
        <w:rPr>
          <w:rFonts w:ascii="Calibri" w:cs="Calibri" w:eastAsia="Calibri" w:hAnsi="Calibri"/>
        </w:rPr>
        <w:t xml:space="preserve"> Todos los servicios de salud registran los indicadores de la sección 10.</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El alta de un episodio no cierra la relación con la persona. Quien recibe el alta puede volver por autorreferencia si recae un proceso ya diagnosticado.</w:t>
      </w:r>
    </w:p>
    <w:p>
      <w:pPr>
        <w:spacing w:after="140"/>
        <w:jc w:val="both"/>
      </w:pPr>
      <w:r>
        <w:rPr>
          <w:rFonts w:ascii="Calibri" w:cs="Calibri" w:eastAsia="Calibri" w:hAnsi="Calibri"/>
        </w:rPr>
        <w:t xml:space="preserve">El último principio responde a una limitación descrita en Madrid [79]. Allí, la persona recibe el alta al terminar el proceso y pierde el contacto con el fisioterapeuta hasta una nueva derivación [79]. La recidiva de un proceso diagnosticado figura por esa razón entre los motivos de autorreferencia del anexo C.</w:t>
      </w:r>
    </w:p>
    <w:p>
      <w:pPr>
        <w:spacing w:after="140"/>
        <w:jc w:val="both"/>
      </w:pPr>
      <w:r>
        <w:rPr>
          <w:rFonts w:ascii="Calibri" w:cs="Calibri" w:eastAsia="Calibri" w:hAnsi="Calibri"/>
        </w:rPr>
        <w:t xml:space="preserve">El principio de intervenciones activas sigue las guías de práctica clínica. Una revisión de guías de alta calidad sobre el dolor musculoesquelético recomienda ofrecer educación y ejercicio, y usar la terapia manual solo como complemento de otros tratamientos [123]. Este documento aplica el mismo criterio a los medios físicos. La revisión sobre la intensidad del tratamiento de la sección 4.5 respalda además un número de sesiones ajustado a la necesidad [117].</w:t>
      </w:r>
    </w:p>
    <w:p>
      <w:pPr>
        <w:pStyle w:val="Heading2"/>
      </w:pPr>
      <w:r>
        <w:rPr>
          <w:rFonts w:ascii="Calibri" w:cs="Calibri" w:eastAsia="Calibri" w:hAnsi="Calibri"/>
        </w:rPr>
        <w:t xml:space="preserve">5.2. Niveles de atención comunitaria</w:t>
      </w:r>
    </w:p>
    <w:p>
      <w:pPr>
        <w:spacing w:after="140"/>
        <w:jc w:val="both"/>
      </w:pPr>
      <w:r>
        <w:rPr>
          <w:rFonts w:ascii="Calibri" w:cs="Calibri" w:eastAsia="Calibri" w:hAnsi="Calibri"/>
        </w:rPr>
        <w:t xml:space="preserve">El modelo organiza la actividad en tres niveles de atención comunitaria. Cada nivel tiene una población diana, una puerta de entrada, una intensidad y unas salidas propias.</w:t>
      </w:r>
    </w:p>
    <w:p>
      <w:pPr>
        <w:keepNext/>
        <w:spacing w:after="80" w:before="200"/>
      </w:pPr>
      <w:r>
        <w:rPr>
          <w:rFonts w:ascii="Calibri" w:cs="Calibri" w:eastAsia="Calibri" w:hAnsi="Calibri"/>
          <w:b/>
          <w:bCs/>
          <w:color w:val="0096B1"/>
          <w:sz w:val="19"/>
          <w:szCs w:val="19"/>
        </w:rPr>
        <w:t xml:space="preserve">Tabla 5.1. Niveles de atención comunitaria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1"/>
        <w:gridCol w:w="1899"/>
        <w:gridCol w:w="1900"/>
        <w:gridCol w:w="1900"/>
        <w:gridCol w:w="1900"/>
      </w:tblGrid>
      <w:tr>
        <w:trPr>
          <w:cantSplit/>
          <w:tblHeader/>
        </w:trPr>
        <w:tc>
          <w:tcPr>
            <w:tcW w:type="dxa" w:w="14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Nivel</w:t>
            </w:r>
          </w:p>
        </w:tc>
        <w:tc>
          <w:tcPr>
            <w:tcW w:type="dxa" w:w="18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 diana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Puerta de entrada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Intensidad</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Salidas</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Consulta de fisioterapia de primer contacto</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adultas con procesos musculoesqueléticos y otros procesos de la matriz del anexo C</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derivación desde medicina de familia y demás vías de la sección 6</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de valoración y, si procede, consultas individuales de seguimiento</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autocuidado, tratamiento individual, programa grupal o derivación a otro profesional</w:t>
            </w:r>
          </w:p>
        </w:tc>
      </w:tr>
      <w:tr>
        <w:trPr>
          <w:cantSplit/>
          <w:tblHeader w:val="false"/>
        </w:trPr>
        <w:tc>
          <w:tcPr>
            <w:tcW w:type="dxa" w:w="1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2. Intervención grupal e intervención comunitaria</w:t>
            </w:r>
          </w:p>
        </w:tc>
        <w:tc>
          <w:tcPr>
            <w:tcW w:type="dxa" w:w="18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un proceso definido que se beneficia del trabajo en grupo y población general en la intervención comunitaria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enfermería familiar y comunitaria y medicina de familia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Ediciones periódicas según las fichas del anexo 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automanejo o retorno al nivel 1</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3. Fisioterapia domiciliaria y de continuidad</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dependencia, fragilidad, alta hospitalaria reciente o cronicidad compleja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medicina de familia, trabajo social sanitario y atención hospitalaria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Visitas domiciliarias y coordinación sociosanitaria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paso al nivel 2 o valoración multidisciplinar</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consulta de primer contacto tiene cuatro salidas posibles. La persona puede recibir el alta con un plan de autocuidado, iniciar un tratamiento individual, incorporarse a un programa grupal o ser derivada a otro profesional.</w:t>
      </w:r>
    </w:p>
    <w:p>
      <w:pPr>
        <w:pStyle w:val="Heading2"/>
      </w:pPr>
      <w:r>
        <w:rPr>
          <w:rFonts w:ascii="Calibri" w:cs="Calibri" w:eastAsia="Calibri" w:hAnsi="Calibri"/>
        </w:rPr>
        <w:t xml:space="preserve">5.3. Funciones clínicas</w:t>
      </w:r>
    </w:p>
    <w:p>
      <w:pPr>
        <w:spacing w:after="140"/>
        <w:jc w:val="both"/>
      </w:pPr>
      <w:r>
        <w:rPr>
          <w:rFonts w:ascii="Calibri" w:cs="Calibri" w:eastAsia="Calibri" w:hAnsi="Calibri"/>
        </w:rPr>
        <w:t xml:space="preserve">El fisioterapeuta de AP valora procesos musculoesqueléticos de distinta complejidad y los estratifica. La función de cribado existe precisamente porque llegan procesos simples y complejos, y el primer contacto debe distinguirlos.</w:t>
      </w:r>
    </w:p>
    <w:p>
      <w:pPr>
        <w:keepNext/>
        <w:spacing w:after="80" w:before="200"/>
      </w:pPr>
      <w:r>
        <w:rPr>
          <w:rFonts w:ascii="Calibri" w:cs="Calibri" w:eastAsia="Calibri" w:hAnsi="Calibri"/>
          <w:b/>
          <w:bCs/>
          <w:color w:val="0096B1"/>
          <w:sz w:val="19"/>
          <w:szCs w:val="19"/>
        </w:rPr>
        <w:t xml:space="preserve">Tabla 5.2. Funciones clínicas del fisioterapeuta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7"/>
        <w:gridCol w:w="6433"/>
      </w:tblGrid>
      <w:tr>
        <w:trPr>
          <w:cantSplit/>
          <w:tblHeader/>
        </w:trPr>
        <w:tc>
          <w:tcPr>
            <w:tcW w:type="dxa" w:w="26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Función</w:t>
            </w:r>
          </w:p>
        </w:tc>
        <w:tc>
          <w:tcPr>
            <w:tcW w:type="dxa" w:w="64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de procesos musculoesqueléticos con estratificación de su complejidad</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Detección de signos de alarma, riesgo neurológico, sospecha de fractura y enfermedad sistémica</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fisioterapéutico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función, movilidad, fuerza, equilibrio y marcha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Plan de intervención</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Ejercicio terapéutico, educación y autocuidado como base, con terapia manual o medios físicos como complemento cuando estén indicados</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Prescripción de ejercicio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Individualizada y progresiva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Apoyo a la valoración con ecografía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ecografía para valorar y reevaluar, sin informe radiológico (sección 7.3)</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 medicina de familia, enfermería, urgencias o recursos comunitarios</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funcional y plan de autocuidado</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función de cribado tiene respaldo en la evidencia sobre práctica avanzada. Una revisión con metaanálisis encontró una concordancia diagnóstica alta entre el fisioterapeuta de práctica avanzada y el médico, con un kappa de 0,76 [108]. Esa revisión incluyó también ensayos en los que la atención por fisioterapia redujo el dolor de forma comparable o mayor que la atención habitual [108]. El fisioterapeuta de AP de esta propuesta no ejerce como fisioterapeuta de práctica avanzada, pero su primera consulta usa el mismo razonamiento clínico. Por eso la autorreferencia exige una formación acreditada en cribado clínico, sin crear una especialidad nueva (sección 11.3).</w:t>
      </w:r>
    </w:p>
    <w:p>
      <w:pPr>
        <w:spacing w:after="140"/>
        <w:jc w:val="both"/>
      </w:pPr>
      <w:r>
        <w:rPr>
          <w:rFonts w:ascii="Calibri" w:cs="Calibri" w:eastAsia="Calibri" w:hAnsi="Calibri"/>
        </w:rPr>
        <w:t xml:space="preserve">La derivación a atención hospitalaria se hace a través de medicina de familia, salvo la derivación urgente. La solicitud de radiografía simple se trata en la sección 7.4 como petición de desarrollo normativo.</w:t>
      </w:r>
    </w:p>
    <w:p>
      <w:pPr>
        <w:pStyle w:val="Heading2"/>
      </w:pPr>
      <w:r>
        <w:rPr>
          <w:rFonts w:ascii="Calibri" w:cs="Calibri" w:eastAsia="Calibri" w:hAnsi="Calibri"/>
        </w:rPr>
        <w:t xml:space="preserve">5.4. Programas grupales y programas comunitarios</w:t>
      </w:r>
    </w:p>
    <w:p>
      <w:pPr>
        <w:spacing w:after="140"/>
        <w:jc w:val="both"/>
      </w:pPr>
      <w:r>
        <w:rPr>
          <w:rFonts w:ascii="Calibri" w:cs="Calibri" w:eastAsia="Calibri" w:hAnsi="Calibri"/>
        </w:rPr>
        <w:t xml:space="preserve">El documento distingue dos tipos de intervención colectiva. La </w:t>
      </w:r>
      <w:r>
        <w:rPr>
          <w:rFonts w:ascii="Calibri" w:cs="Calibri" w:eastAsia="Calibri" w:hAnsi="Calibri"/>
          <w:b/>
          <w:bCs/>
          <w:color w:val="00768E"/>
        </w:rPr>
        <w:t xml:space="preserve">intervención grupal</w:t>
      </w:r>
      <w:r>
        <w:rPr>
          <w:rFonts w:ascii="Calibri" w:cs="Calibri" w:eastAsia="Calibri" w:hAnsi="Calibri"/>
        </w:rPr>
        <w:t xml:space="preserve"> es una intervención clínica sobre un grupo de personas con un proceso definido. La </w:t>
      </w:r>
      <w:r>
        <w:rPr>
          <w:rFonts w:ascii="Calibri" w:cs="Calibri" w:eastAsia="Calibri" w:hAnsi="Calibri"/>
          <w:b/>
          <w:bCs/>
          <w:color w:val="00768E"/>
        </w:rPr>
        <w:t xml:space="preserve">intervención comunitaria</w:t>
      </w:r>
      <w:r>
        <w:rPr>
          <w:rFonts w:ascii="Calibri" w:cs="Calibri" w:eastAsia="Calibri" w:hAnsi="Calibri"/>
        </w:rPr>
        <w:t xml:space="preserve"> actúa sobre la población o sobre los activos comunitarios, sin un proceso clínico individual. La distinción se recoge en el glosario del anexo D.</w:t>
      </w:r>
    </w:p>
    <w:p>
      <w:pPr>
        <w:spacing w:after="140"/>
        <w:jc w:val="both"/>
      </w:pPr>
      <w:r>
        <w:rPr>
          <w:rFonts w:ascii="Calibri" w:cs="Calibri" w:eastAsia="Calibri" w:hAnsi="Calibri"/>
        </w:rPr>
        <w:t xml:space="preserve">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w:pPr>
        <w:keepNext/>
        <w:spacing w:after="80" w:before="200"/>
      </w:pPr>
      <w:r>
        <w:rPr>
          <w:rFonts w:ascii="Calibri" w:cs="Calibri" w:eastAsia="Calibri" w:hAnsi="Calibri"/>
          <w:b/>
          <w:bCs/>
          <w:color w:val="0096B1"/>
          <w:sz w:val="19"/>
          <w:szCs w:val="19"/>
        </w:rPr>
        <w:t xml:space="preserve">Tabla 5.3.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62"/>
        <w:gridCol w:w="1858"/>
        <w:gridCol w:w="750"/>
        <w:gridCol w:w="750"/>
        <w:gridCol w:w="913"/>
        <w:gridCol w:w="14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25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8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Liderazgo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Grupo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Sesiones</w:t>
            </w:r>
          </w:p>
        </w:tc>
        <w:tc>
          <w:tcPr>
            <w:tcW w:type="dxa" w:w="9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Horas de fisioterapia por edición</w:t>
            </w:r>
          </w:p>
        </w:tc>
        <w:tc>
          <w:tcPr>
            <w:tcW w:type="dxa" w:w="14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Prevención de caídas y fragilidad [124]</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enfermería familiar y comunitaria en la captación y el seguimiento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educación en neurociencia del dolor y ejercicio [125]</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medicina de familia en la selección de participantes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de rodilla y cadera [126]</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 [127]</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Compartido: fisioterapia en el ejercicio y enfermería familiar y comunitaria en la educación sobre autocuidado e inhaladores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 a 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Escuela de espalda [128]</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bl>
    <w:p>
      <w:pPr>
        <w:spacing w:after="200" w:before="60"/>
      </w:pPr>
      <w:r>
        <w:rPr>
          <w:rFonts w:ascii="Calibri" w:cs="Calibri" w:eastAsia="Calibri" w:hAnsi="Calibri"/>
          <w:i/>
          <w:iCs/>
          <w:color w:val="8C8C8C"/>
          <w:sz w:val="17"/>
          <w:szCs w:val="17"/>
        </w:rPr>
        <w:t xml:space="preserve">Fuente: anexo A. Las horas por edición incluyen la preparación y la evaluación. Las ediciones por 10.000 habitantes son parámetros de diseño que alimentan el modelo de la sección 9.</w:t>
      </w:r>
    </w:p>
    <w:p>
      <w:pPr>
        <w:spacing w:after="140"/>
        <w:jc w:val="both"/>
      </w:pPr>
      <w:r>
        <w:rPr>
          <w:rFonts w:ascii="Calibri" w:cs="Calibri" w:eastAsia="Calibri" w:hAnsi="Calibri"/>
        </w:rPr>
        <w:t xml:space="preserve">Los programas grupales se apoyan en evidencia de ensayos y revisiones. El ejercicio que combina equilibrio y trabajo funcional reduce la tasa de caídas en personas mayores que viven en la comunidad, con certeza alta [124]. El ejercicio terapéutico reduce el dolor en la artrosis de rodilla, con certeza alta a corto plazo [126]. La rehabilitación respiratoria mejora la disnea, la fatiga y la capacidad de ejercicio en la EPOC [127]. El ejercicio reduce el dolor lumbar persistente frente a la ausencia de tratamiento o la atención habitual, con certeza moderada [128]. En España, un ensayo pragmático en doce centros de AP de Castilla y León comparó un programa grupal con la fisioterapia habitual en el dolor vertebral persistente [125]. El programa combinó seis sesiones de educación en neurociencia del dolor y dieciocho sesiones de ejercicio grupal en seis semanas [125]. Las diferencias favorecieron al programa grupal y se mantuvieron a los seis meses [125].</w:t>
      </w:r>
    </w:p>
    <w:p>
      <w:pPr>
        <w:spacing w:after="140"/>
        <w:jc w:val="both"/>
      </w:pPr>
      <w:r>
        <w:rPr>
          <w:rFonts w:ascii="Calibri" w:cs="Calibri" w:eastAsia="Calibri" w:hAnsi="Calibri"/>
        </w:rPr>
        <w:t xml:space="preserve">La educación en neurociencia del dolor tiene una evidencia favorable, aunque con matices. Una revisión de 13 ensayos respaldó su uso en los trastornos musculoesqueléticos persistentes para reducir el dolor, la discapacidad y el uso de servicios [129]. En cambio, un metaanálisis de nueve ensayos no encontró mejoras en dolor ni discapacidad cuando la educación se comparaba con la atención habitual [130]. Sus autores no recomiendan esa educación como intervención aislada [130]. Por eso el programa PG-02 combina educación y ejercicio, como el ensayo de Castilla y León [125].</w:t>
      </w:r>
    </w:p>
    <w:p>
      <w:pPr>
        <w:spacing w:after="140"/>
        <w:jc w:val="both"/>
      </w:pPr>
      <w:r>
        <w:rPr>
          <w:rFonts w:ascii="Calibri" w:cs="Calibri" w:eastAsia="Calibri" w:hAnsi="Calibri"/>
        </w:rPr>
        <w:t xml:space="preserve">Otras experiencias españolas en AP apoyan el formato grupal. En la Costa del Sol, un ensayo no aleatorizado en las escuelas de espalda de fisioterapia de AP añadió educación de base cognitivo-conductual [131]. El grupo de intervención redujo más el miedo, el catastrofismo y la discapacidad, aunque no el dolor [131]. Una cohorte retrospectiva española de 149 personas con dolor vertebral persistente siguió un protocolo de ejercicio terapéutico grupal en AP [132]. El dolor y la discapacidad mejoraron con un tamaño del efecto moderado a grande, aunque el estudio no tuvo grupo control [132].</w:t>
      </w:r>
    </w:p>
    <w:p>
      <w:pPr>
        <w:spacing w:after="140"/>
        <w:jc w:val="both"/>
      </w:pPr>
      <w:r>
        <w:rPr>
          <w:rFonts w:ascii="Calibri" w:cs="Calibri" w:eastAsia="Calibri" w:hAnsi="Calibri"/>
        </w:rPr>
        <w:t xml:space="preserve">La evidencia sobre el formato grupal en los procesos agudos es escasa. Un ensayo andaluz en dolor cervical mecánico agudo y subagudo, realizado en un centro de especialidades, encontró mejores resultados con el tratamiento individual que con el grupal [133]. Por esa razón, los programas del anexo A se dirigen a procesos persistentes o estables, y los procesos agudos se atienden en la consulta individual del nivel 1.</w:t>
      </w:r>
    </w:p>
    <w:p>
      <w:pPr>
        <w:spacing w:after="140"/>
        <w:jc w:val="both"/>
      </w:pPr>
      <w:r>
        <w:rPr>
          <w:rFonts w:ascii="Calibri" w:cs="Calibri" w:eastAsia="Calibri" w:hAnsi="Calibri"/>
        </w:rPr>
        <w:t xml:space="preserve">La prevención de la fragilidad cuenta con ensayos en AP española. Un ensayo en AP con personas prefrágiles de 70 años o más combinó una valoración nutricional con un programa de actividad física [134]. La intervención redujo la progresión a fragilidad a los doce meses [134]. Pasó a fragilidad el 4,9 % del grupo de intervención y el 15,3 % del grupo control [134]. El ensayo no encontró diferencias en fuerza muscular ni en velocidad de la marcha [134]. En Barcelona, una intervención multifactorial en AP mejoró la función física de personas mayores frágiles a los tres y a los dieciocho meses [135]. El ensayo MEFAP evalúa un programa de ejercicio multicomponente en AP para personas prefrágiles mayores de 70 años [136]. PubMed recoge su protocolo, pero no sus resultados.</w:t>
      </w:r>
    </w:p>
    <w:p>
      <w:pPr>
        <w:keepNext/>
        <w:spacing w:after="80" w:before="200"/>
      </w:pPr>
      <w:r>
        <w:rPr>
          <w:rFonts w:ascii="Calibri" w:cs="Calibri" w:eastAsia="Calibri" w:hAnsi="Calibri"/>
          <w:b/>
          <w:bCs/>
          <w:color w:val="0096B1"/>
          <w:sz w:val="19"/>
          <w:szCs w:val="19"/>
        </w:rPr>
        <w:t xml:space="preserve">Tabla 5.4. Intervenciones comunitarias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866"/>
        <w:gridCol w:w="2411"/>
        <w:gridCol w:w="1977"/>
        <w:gridCol w:w="775"/>
        <w:gridCol w:w="129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86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Intervención comunitaria</w:t>
            </w:r>
          </w:p>
        </w:tc>
        <w:tc>
          <w:tcPr>
            <w:tcW w:type="dxa" w:w="24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w:t>
            </w:r>
          </w:p>
        </w:tc>
        <w:tc>
          <w:tcPr>
            <w:tcW w:type="dxa" w:w="197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Liderazgo</w:t>
            </w:r>
          </w:p>
        </w:tc>
        <w:tc>
          <w:tcPr>
            <w:tcW w:type="dxa" w:w="7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Horas de fisioterapia por edición</w:t>
            </w:r>
          </w:p>
        </w:tc>
        <w:tc>
          <w:tcPr>
            <w:tcW w:type="dxa" w:w="12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PC-01</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Promoción de la actividad física con activos comunitarios</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general adulta de la zona básica de salud</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 de atención primaria, con fisioterapia en el diseño y coordinación con salud pública y entidades locales</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PC-02</w:t>
            </w:r>
          </w:p>
        </w:tc>
        <w:tc>
          <w:tcPr>
            <w:tcW w:type="dxa" w:w="186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escolar: ergonomía y actividad física</w:t>
            </w:r>
          </w:p>
        </w:tc>
        <w:tc>
          <w:tcPr>
            <w:tcW w:type="dxa" w:w="24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Alumnado y profesorado de los centros educativos de la zona básica de salud</w:t>
            </w:r>
          </w:p>
        </w:tc>
        <w:tc>
          <w:tcPr>
            <w:tcW w:type="dxa" w:w="197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y enfermería familiar y comunitaria, con los centros educativos</w:t>
            </w:r>
          </w:p>
        </w:tc>
        <w:tc>
          <w:tcPr>
            <w:tcW w:type="dxa" w:w="7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PC-03</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laboral comunitaria</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Colectivos locales con alta carga física en el trabajo</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en coordinación con los servicios de prevención cuando existan</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bl>
    <w:p>
      <w:pPr>
        <w:spacing w:after="200" w:before="60"/>
      </w:pPr>
      <w:r>
        <w:rPr>
          <w:rFonts w:ascii="Calibri" w:cs="Calibri" w:eastAsia="Calibri" w:hAnsi="Calibri"/>
          <w:i/>
          <w:iCs/>
          <w:color w:val="8C8C8C"/>
          <w:sz w:val="17"/>
          <w:szCs w:val="17"/>
        </w:rPr>
        <w:t xml:space="preserve">Fuente: anexo A. Estas intervenciones desarrollan la Estrategia de Promoción de la Salud y Prevención del SNS, que vincula el consejo en AP con los recursos comunitarios [51].</w:t>
      </w:r>
    </w:p>
    <w:p>
      <w:pPr>
        <w:pStyle w:val="Heading2"/>
      </w:pPr>
      <w:r>
        <w:rPr>
          <w:rFonts w:ascii="Calibri" w:cs="Calibri" w:eastAsia="Calibri" w:hAnsi="Calibri"/>
        </w:rPr>
        <w:t xml:space="preserve">5.5. Modalidades asistenciales</w:t>
      </w:r>
    </w:p>
    <w:p>
      <w:pPr>
        <w:keepNext/>
        <w:spacing w:after="80" w:before="200"/>
      </w:pPr>
      <w:r>
        <w:rPr>
          <w:rFonts w:ascii="Calibri" w:cs="Calibri" w:eastAsia="Calibri" w:hAnsi="Calibri"/>
          <w:b/>
          <w:bCs/>
          <w:color w:val="0096B1"/>
          <w:sz w:val="19"/>
          <w:szCs w:val="19"/>
        </w:rPr>
        <w:t xml:space="preserve">Tabla 5.5. Modalidades asistenciales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3"/>
        <w:gridCol w:w="1257"/>
        <w:gridCol w:w="5400"/>
      </w:tblGrid>
      <w:tr>
        <w:trPr>
          <w:cantSplit/>
          <w:tblHeader/>
        </w:trPr>
        <w:tc>
          <w:tcPr>
            <w:tcW w:type="dxa" w:w="24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Modalidad</w:t>
            </w:r>
          </w:p>
        </w:tc>
        <w:tc>
          <w:tcPr>
            <w:tcW w:type="dxa" w:w="12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incluye</w:t>
            </w:r>
          </w:p>
        </w:tc>
        <w:tc>
          <w:tcPr>
            <w:tcW w:type="dxa" w:w="5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 presencial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inicial, seguimiento y alta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breve resolutiva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Educación, consejo y automanejo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de la tabla 5.3</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domiciliaria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fragilidad y altas hospitalarias</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Teleconsulta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educación y adherencia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telefónica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dudas, seguimiento y valoración previa de la idoneidad y la prioridad</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a demanda de seguimiento</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 sin nueva derivación</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Coordinación con medicina de familia, enfermería y atención hospitalaria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Activos en salud y ejercicio comunitario</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crónicos complejos entre medicina, enfermería y fisioterapia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Escuela de pacientes</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artrosis, EPOC y espalda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residencias</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coordinada con el centro</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Prevención del deterioro funcional</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interconsulta no presencial ya existe como servicio de los hospitales de la Comunidad de Madrid, que la denominan e-consulta [78].</w:t>
      </w:r>
    </w:p>
    <w:p>
      <w:pPr>
        <w:spacing w:after="140"/>
        <w:jc w:val="both"/>
      </w:pPr>
      <w:r>
        <w:rPr>
          <w:rFonts w:ascii="Calibri" w:cs="Calibri" w:eastAsia="Calibri" w:hAnsi="Calibri"/>
        </w:rPr>
        <w:t xml:space="preserve">La tabla incluye dos modalidades que proceden de la experiencia madrileña. La primera es la consulta a demanda, que la propuesta del colegio madrileño plantea como evolución progresiva del acceso [79]. En este documento, esa modalidad se limita a la recidiva de un proceso ya diagnosticado del anexo C. La segunda es la consulta telefónica previa para valorar la idoneidad y la prioridad [9]. La instrucción de la Gerencia Asistencial la usa en los procesos de demanda de las matronas [9]. Ese formato permite al fisioterapeuta confirmar el motivo antes de ocupar una cita presencial.</w:t>
      </w:r>
    </w:p>
    <w:p>
      <w:pPr>
        <w:pStyle w:val="Heading2"/>
      </w:pPr>
      <w:r>
        <w:rPr>
          <w:rFonts w:ascii="Calibri" w:cs="Calibri" w:eastAsia="Calibri" w:hAnsi="Calibri"/>
        </w:rPr>
        <w:t xml:space="preserve">5.6. Herramientas de salud digital</w:t>
      </w:r>
    </w:p>
    <w:p>
      <w:pPr>
        <w:spacing w:after="140"/>
        <w:jc w:val="both"/>
      </w:pPr>
      <w:r>
        <w:rPr>
          <w:rFonts w:ascii="Calibri" w:cs="Calibri" w:eastAsia="Calibri" w:hAnsi="Calibri"/>
        </w:rPr>
        <w:t xml:space="preserve">La Estrategia de Salud Digital del SNS ofrece el marco para tres herramientas [52]. La teleconsulta permite el seguimiento de personas con dificultades de desplazamiento. El seguimiento remoto de la adherencia refuerza los planes de ejercicio. La prescripción digital de ejercicio facilita la continuidad entre sesiones. Estas herramientas son también una de las tres palancas del ajuste por ruralidad de la sección 9.4. La propuesta del colegio madrileño incluye también plataformas para la gestión de los datos clínicos y el seguimiento longitudinal de los pacientes [79].</w:t>
      </w:r>
    </w:p>
    <w:p>
      <w:pPr>
        <w:spacing w:after="140"/>
        <w:jc w:val="both"/>
      </w:pPr>
      <w:r>
        <w:rPr>
          <w:rFonts w:ascii="Calibri" w:cs="Calibri" w:eastAsia="Calibri" w:hAnsi="Calibri"/>
        </w:rPr>
        <w:t xml:space="preserve">Las modalidades no presenciales complementan la atención presencial y no la sustituyen. Su uso se ajusta a la necesidad clínica y a la competencia digital de cada persona. La sección 10.4 desagrega los indicadores por modalidad de atención para detectar la brecha digital.</w:t>
      </w:r>
    </w:p>
    <w:p>
      <w:pPr>
        <w:pStyle w:val="Heading1"/>
        <w:pageBreakBefore/>
      </w:pPr>
      <w:r>
        <w:rPr>
          <w:rFonts w:ascii="Calibri" w:cs="Calibri" w:eastAsia="Calibri" w:hAnsi="Calibri"/>
        </w:rPr>
        <w:t xml:space="preserve">6. Vías de acceso y circuitos asistenciales</w:t>
      </w:r>
    </w:p>
    <w:p>
      <w:pPr>
        <w:spacing w:after="140"/>
        <w:jc w:val="both"/>
      </w:pPr>
      <w:r>
        <w:rPr>
          <w:rFonts w:ascii="Calibri" w:cs="Calibri" w:eastAsia="Calibri" w:hAnsi="Calibri"/>
        </w:rPr>
        <w:t xml:space="preserve">Esta sección describe por dónde entra una persona a fisioterapia de AP y qué documento acompaña cada entrada. Todos los circuitos terminan con un criterio de retorno explícito. Las tablas de esta sección proceden de la matriz de coherencia del anexo C, que es la única fuente de los procesos, las vías y las condiciones.</w:t>
      </w:r>
    </w:p>
    <w:p>
      <w:pPr>
        <w:pStyle w:val="Heading2"/>
      </w:pPr>
      <w:r>
        <w:rPr>
          <w:rFonts w:ascii="Calibri" w:cs="Calibri" w:eastAsia="Calibri" w:hAnsi="Calibri"/>
        </w:rPr>
        <w:t xml:space="preserve">6.1. Vías de entrada</w:t>
      </w:r>
    </w:p>
    <w:p>
      <w:pPr>
        <w:keepNext/>
        <w:spacing w:after="80" w:before="200"/>
      </w:pPr>
      <w:r>
        <w:rPr>
          <w:rFonts w:ascii="Calibri" w:cs="Calibri" w:eastAsia="Calibri" w:hAnsi="Calibri"/>
          <w:b/>
          <w:bCs/>
          <w:color w:val="0096B1"/>
          <w:sz w:val="19"/>
          <w:szCs w:val="19"/>
        </w:rPr>
        <w:t xml:space="preserve">Tabla 6.1. Vías de entrada a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1"/>
        <w:gridCol w:w="2706"/>
        <w:gridCol w:w="903"/>
        <w:gridCol w:w="2860"/>
        <w:gridCol w:w="750"/>
      </w:tblGrid>
      <w:tr>
        <w:trPr>
          <w:cantSplit/>
          <w:tblHeader/>
        </w:trPr>
        <w:tc>
          <w:tcPr>
            <w:tcW w:type="dxa" w:w="185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Vía de entrada</w:t>
            </w:r>
          </w:p>
        </w:tc>
        <w:tc>
          <w:tcPr>
            <w:tcW w:type="dxa" w:w="27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Admitida</w:t>
            </w:r>
          </w:p>
        </w:tc>
        <w:tc>
          <w:tcPr>
            <w:tcW w:type="dxa" w:w="9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Procesos de la matriz</w:t>
            </w:r>
          </w:p>
        </w:tc>
        <w:tc>
          <w:tcPr>
            <w:tcW w:type="dxa" w:w="28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Requisito documental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Circuito</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del ciudadano</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protocolizados de personas adultas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P08</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 de cita con registro del motivo de consulta parametrizado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familia y comunitaria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vía principal para procesos con diagnóstico médico o comorbilidad</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P06, P08 a P10, 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en la historia clínica compartida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familiar y comunitaria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especial fragilidad, caídas, cronicidad e inmovilidad</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P09, P10, P15</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con resultado del cribado de fragilidad cuando proceda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Pediatría de atención primaria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define la oferta pediátrica</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P17</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Matrona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incorpora el proceso</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P16</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Trabajo social sanitario</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dependencia, domicilio y barreras funcionales</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social y valoración de necesidades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atención hospitalaria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tres situaciones definidas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P11 a P13</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clínico mínimo con criterio de retorno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desde rehabilitación hospitalaria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continuidad funcional</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P14</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de alta de rehabilitación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w:t>
            </w:r>
          </w:p>
        </w:tc>
      </w:tr>
    </w:tbl>
    <w:p>
      <w:pPr>
        <w:spacing w:after="200" w:before="60"/>
      </w:pPr>
      <w:r>
        <w:rPr>
          <w:rFonts w:ascii="Calibri" w:cs="Calibri" w:eastAsia="Calibri" w:hAnsi="Calibri"/>
          <w:i/>
          <w:iCs/>
          <w:color w:val="8C8C8C"/>
          <w:sz w:val="17"/>
          <w:szCs w:val="17"/>
        </w:rPr>
        <w:t xml:space="preserve">Fuente: anexo C. Los códigos de proceso remiten a la matriz de coherencia.</w:t>
      </w:r>
    </w:p>
    <w:p>
      <w:pPr>
        <w:spacing w:after="140"/>
        <w:jc w:val="both"/>
      </w:pPr>
      <w:r>
        <w:rPr>
          <w:rFonts w:ascii="Calibri" w:cs="Calibri" w:eastAsia="Calibri" w:hAnsi="Calibri"/>
        </w:rPr>
        <w:t xml:space="preserve">Este documento distingue dos formas de entrada que a menudo se confunden. En la derivación directa, un profesional del equipo de AP remite a la persona a fisioterapia sin paso previo por medicina física y rehabilitación. En la autorreferencia, o acceso directo del ciudadano, la persona pide cita sin la derivación de ningún profesional. Ambas vías tienen un tratamiento normativo distinto, que expone la sección 7.5.</w:t>
      </w:r>
    </w:p>
    <w:p>
      <w:pPr>
        <w:pStyle w:val="Heading2"/>
      </w:pPr>
      <w:r>
        <w:rPr>
          <w:rFonts w:ascii="Calibri" w:cs="Calibri" w:eastAsia="Calibri" w:hAnsi="Calibri"/>
        </w:rPr>
        <w:t xml:space="preserve">6.2. Circuito 1. Autorreferencia</w:t>
      </w:r>
    </w:p>
    <w:p>
      <w:pPr>
        <w:spacing w:after="140"/>
        <w:jc w:val="both"/>
      </w:pPr>
      <w:r>
        <w:rPr>
          <w:rFonts w:ascii="Calibri" w:cs="Calibri" w:eastAsia="Calibri" w:hAnsi="Calibri"/>
        </w:rPr>
        <w:t xml:space="preserve">La autorreferencia permite a una persona adulta pedir cita con fisioterapia sin derivación previa, solo para los procesos de la tabla 8.1. El circuito tiene cinco pasos:</w:t>
      </w:r>
    </w:p>
    <w:p>
      <w:pPr>
        <w:pStyle w:val="ListParagraph"/>
        <w:numPr>
          <w:ilvl w:val="0"/>
          <w:numId w:val="4"/>
        </w:numPr>
        <w:spacing w:after="60"/>
      </w:pPr>
      <w:r>
        <w:rPr>
          <w:rFonts w:ascii="Calibri" w:cs="Calibri" w:eastAsia="Calibri" w:hAnsi="Calibri"/>
        </w:rPr>
        <w:t xml:space="preserve">La persona solicita la cita por vía presencial, telefónica o digital.</w:t>
      </w:r>
    </w:p>
    <w:p>
      <w:pPr>
        <w:pStyle w:val="ListParagraph"/>
        <w:numPr>
          <w:ilvl w:val="0"/>
          <w:numId w:val="4"/>
        </w:numPr>
        <w:spacing w:after="60"/>
      </w:pPr>
      <w:r>
        <w:rPr>
          <w:rFonts w:ascii="Calibri" w:cs="Calibri" w:eastAsia="Calibri" w:hAnsi="Calibri"/>
        </w:rPr>
        <w:t xml:space="preserve">El personal administrativo aplica un protocolo de gestión de la demanda con motivos de consulta parametrizados por los clínicos del equipo. Este paso no es un triaje ni una valoración clínica: solo comprueba que el motivo figura en la lista y asigna la cita.</w:t>
      </w:r>
    </w:p>
    <w:p>
      <w:pPr>
        <w:pStyle w:val="ListParagraph"/>
        <w:numPr>
          <w:ilvl w:val="0"/>
          <w:numId w:val="4"/>
        </w:numPr>
        <w:spacing w:after="60"/>
      </w:pPr>
      <w:r>
        <w:rPr>
          <w:rFonts w:ascii="Calibri" w:cs="Calibri" w:eastAsia="Calibri" w:hAnsi="Calibri"/>
        </w:rPr>
        <w:t xml:space="preserve">El fisioterapeuta realiza la primera consulta, que incluye el cribado clínico de signos de alarma y la estratificación del proceso.</w:t>
      </w:r>
    </w:p>
    <w:p>
      <w:pPr>
        <w:pStyle w:val="ListParagraph"/>
        <w:numPr>
          <w:ilvl w:val="0"/>
          <w:numId w:val="4"/>
        </w:numPr>
        <w:spacing w:after="60"/>
      </w:pPr>
      <w:r>
        <w:rPr>
          <w:rFonts w:ascii="Calibri" w:cs="Calibri" w:eastAsia="Calibri" w:hAnsi="Calibri"/>
        </w:rPr>
        <w:t xml:space="preserve">Si el proceso es abordable en AP, el fisioterapeuta elige una de las salidas del nivel 1: alta con plan de autocuidado, tratamiento individual o programa grupal.</w:t>
      </w:r>
    </w:p>
    <w:p>
      <w:pPr>
        <w:pStyle w:val="ListParagraph"/>
        <w:numPr>
          <w:ilvl w:val="0"/>
          <w:numId w:val="4"/>
        </w:numPr>
        <w:spacing w:after="60"/>
      </w:pPr>
      <w:r>
        <w:rPr>
          <w:rFonts w:ascii="Calibri" w:cs="Calibri" w:eastAsia="Calibri" w:hAnsi="Calibri"/>
        </w:rPr>
        <w:t xml:space="preserve">Si aparecen signos de alarma o complejidad, el fisioterapeuta deriva a medicina de familia en el mismo día o, si la situación lo exige, a urgencias.</w:t>
      </w:r>
    </w:p>
    <w:p>
      <w:pPr>
        <w:spacing w:after="140"/>
        <w:jc w:val="both"/>
      </w:pPr>
      <w:r>
        <w:rPr>
          <w:rFonts w:ascii="Calibri" w:cs="Calibri" w:eastAsia="Calibri" w:hAnsi="Calibri"/>
        </w:rPr>
        <w:t xml:space="preserve">Los dos precedentes españoles de acceso directo funcionan con este mecanismo. Galicia incorporó la fisioterapia a su sistema de gestión de la demanda en equipo, XIDE, en 2022 [76, 77]. Madrid cita desde la Unidad de Atención al Usuario a las personas que refieren tres procesos concretos desde 2025 [39]. El circuito puede usar además un cuestionario de autorreferencia que la persona rellena antes de la cita. Quien lo lee e interpreta es siempre el fisioterapeuta.</w:t>
      </w:r>
    </w:p>
    <w:p>
      <w:pPr>
        <w:spacing w:after="140"/>
        <w:jc w:val="both"/>
      </w:pPr>
      <w:r>
        <w:rPr>
          <w:rFonts w:ascii="Calibri" w:cs="Calibri" w:eastAsia="Calibri" w:hAnsi="Calibri"/>
        </w:rPr>
        <w:t xml:space="preserve">La instrucción madrileña concreta cómo funciona el paso 2 [9]. La Unidad de Atención al Usuario cita a la persona con su fisioterapeuta asignado, en un hueco de agenda reservado para esta demanda [9]. Si la persona refiere un traumatismo importante u otros criterios de la instrucción, la cita se da con su médico de familia [9]. Cada proceso lleva asociados sus códigos de la Clasificación Internacional de Atención Primaria, lo que permite registrar y medir la actividad [9].</w:t>
      </w:r>
    </w:p>
    <w:p>
      <w:pPr>
        <w:spacing w:after="140"/>
        <w:jc w:val="both"/>
      </w:pPr>
      <w:r>
        <w:rPr>
          <w:rFonts w:ascii="Calibri" w:cs="Calibri" w:eastAsia="Calibri" w:hAnsi="Calibri"/>
        </w:rPr>
        <w:t xml:space="preserve">Un trabajo de gestión sobre la Dirección Asistencial Sureste de Madrid identifica el punto débil de este paso [80]. La tarea de preguntar el motivo de consulta recae en las unidades de atención al usuario, en un mostrador público [80]. Además, muchos huecos reservados para la cita directa quedan sin usar [80]. Por eso el circuito exige cuatro apoyos. El primero es un guion de citación con la lista cerrada de motivos y de criterios de exclusión. El segundo es la formación del personal administrativo que recoge la sección 11.3. El tercero es la información a la ciudadanía sobre los motivos que admiten la cita directa. El cuarto es la auditoría periódica de los motivos registrados, con el indicador IE-6.</w:t>
      </w:r>
    </w:p>
    <w:p>
      <w:pPr>
        <w:pStyle w:val="Heading2"/>
      </w:pPr>
      <w:r>
        <w:rPr>
          <w:rFonts w:ascii="Calibri" w:cs="Calibri" w:eastAsia="Calibri" w:hAnsi="Calibri"/>
        </w:rPr>
        <w:t xml:space="preserve">6.3. Circuito 2. Derivación desde medicina de familia</w:t>
      </w:r>
    </w:p>
    <w:p>
      <w:pPr>
        <w:pStyle w:val="ListParagraph"/>
        <w:numPr>
          <w:ilvl w:val="0"/>
          <w:numId w:val="5"/>
        </w:numPr>
        <w:spacing w:after="60"/>
      </w:pPr>
      <w:r>
        <w:rPr>
          <w:rFonts w:ascii="Calibri" w:cs="Calibri" w:eastAsia="Calibri" w:hAnsi="Calibri"/>
        </w:rPr>
        <w:t xml:space="preserve">El médico de familia diagnostica o sospecha un proceso abordable en AP.</w:t>
      </w:r>
    </w:p>
    <w:p>
      <w:pPr>
        <w:pStyle w:val="ListParagraph"/>
        <w:numPr>
          <w:ilvl w:val="0"/>
          <w:numId w:val="5"/>
        </w:numPr>
        <w:spacing w:after="60"/>
      </w:pPr>
      <w:r>
        <w:rPr>
          <w:rFonts w:ascii="Calibri" w:cs="Calibri" w:eastAsia="Calibri" w:hAnsi="Calibri"/>
        </w:rPr>
        <w:t xml:space="preserve">El médico registra una interconsulta a fisioterapia en la historia clínica compartida.</w:t>
      </w:r>
    </w:p>
    <w:p>
      <w:pPr>
        <w:pStyle w:val="ListParagraph"/>
        <w:numPr>
          <w:ilvl w:val="0"/>
          <w:numId w:val="5"/>
        </w:numPr>
        <w:spacing w:after="60"/>
      </w:pPr>
      <w:r>
        <w:rPr>
          <w:rFonts w:ascii="Calibri" w:cs="Calibri" w:eastAsia="Calibri" w:hAnsi="Calibri"/>
        </w:rPr>
        <w:t xml:space="preserve">El fisioterapeuta realiza la valoración funcional y define el plan terapéutico.</w:t>
      </w:r>
    </w:p>
    <w:p>
      <w:pPr>
        <w:pStyle w:val="ListParagraph"/>
        <w:numPr>
          <w:ilvl w:val="0"/>
          <w:numId w:val="5"/>
        </w:numPr>
        <w:spacing w:after="60"/>
      </w:pPr>
      <w:r>
        <w:rPr>
          <w:rFonts w:ascii="Calibri" w:cs="Calibri" w:eastAsia="Calibri" w:hAnsi="Calibri"/>
        </w:rPr>
        <w:t xml:space="preserve">El fisioterapeuta emite un informe de alta o devuelve a la persona a medicina de familia.</w:t>
      </w:r>
    </w:p>
    <w:p>
      <w:pPr>
        <w:spacing w:after="140"/>
        <w:jc w:val="both"/>
      </w:pPr>
      <w:r>
        <w:rPr>
          <w:rFonts w:ascii="Calibri" w:cs="Calibri" w:eastAsia="Calibri" w:hAnsi="Calibri"/>
        </w:rPr>
        <w:t xml:space="preserve">El retorno a medicina de familia se produce en cuatro situaciones: ausencia de mejoría, aparición de signos de alarma, situación clínica que contraindica la fisioterapia en ese momento o problema no abordable en AP.</w:t>
      </w:r>
    </w:p>
    <w:p>
      <w:pPr>
        <w:spacing w:after="140"/>
        <w:jc w:val="both"/>
      </w:pPr>
      <w:r>
        <w:rPr>
          <w:rFonts w:ascii="Calibri" w:cs="Calibri" w:eastAsia="Calibri" w:hAnsi="Calibri"/>
        </w:rPr>
        <w:t xml:space="preserve">La derivación desde medicina de familia a fisioterapia de AP evita un paso intermedio por atención hospitalaria. Ese paso es frecuente hoy. En un área de salud de Castilla y León, solo el 11,2 % de las derivaciones de AP a traumatología mencionaba una fisioterapia previa [36]. Además, los procesos degenerativos justificaron el 65,7 % de esas derivaciones [36]. En el dolor lumbar, añadir ejercicio y educación a la atención del médico general es más coste-efectivo que la atención médica sola [137].</w:t>
      </w:r>
    </w:p>
    <w:p>
      <w:pPr>
        <w:spacing w:after="140"/>
        <w:jc w:val="both"/>
      </w:pPr>
      <w:r>
        <w:rPr>
          <w:rFonts w:ascii="Calibri" w:cs="Calibri" w:eastAsia="Calibri" w:hAnsi="Calibri"/>
        </w:rPr>
        <w:t xml:space="preserve">Este documento propone además que medicina de familia y fisioterapia compartan la gestión de las listas de espera con criterios comunes de prioridad. En Madrid no existen hoy criterios unificados para decidir quién accede a las citas preferentes de fisioterapia [80]. El grupo de trabajo de la sección 11.4 debe definir esos criterios dentro de la matriz común.</w:t>
      </w:r>
    </w:p>
    <w:p>
      <w:pPr>
        <w:pStyle w:val="Heading2"/>
      </w:pPr>
      <w:r>
        <w:rPr>
          <w:rFonts w:ascii="Calibri" w:cs="Calibri" w:eastAsia="Calibri" w:hAnsi="Calibri"/>
        </w:rPr>
        <w:t xml:space="preserve">6.4. Circuito 3. Derivación desde enfermería familiar y comunitaria</w:t>
      </w:r>
    </w:p>
    <w:p>
      <w:pPr>
        <w:pStyle w:val="ListParagraph"/>
        <w:numPr>
          <w:ilvl w:val="0"/>
          <w:numId w:val="6"/>
        </w:numPr>
        <w:spacing w:after="60"/>
      </w:pPr>
      <w:r>
        <w:rPr>
          <w:rFonts w:ascii="Calibri" w:cs="Calibri" w:eastAsia="Calibri" w:hAnsi="Calibri"/>
        </w:rPr>
        <w:t xml:space="preserve">Enfermería detecta fragilidad, riesgo de caídas, inmovilidad, dolor persistente o baja actividad física.</w:t>
      </w:r>
    </w:p>
    <w:p>
      <w:pPr>
        <w:pStyle w:val="ListParagraph"/>
        <w:numPr>
          <w:ilvl w:val="0"/>
          <w:numId w:val="6"/>
        </w:numPr>
        <w:spacing w:after="60"/>
      </w:pPr>
      <w:r>
        <w:rPr>
          <w:rFonts w:ascii="Calibri" w:cs="Calibri" w:eastAsia="Calibri" w:hAnsi="Calibri"/>
        </w:rPr>
        <w:t xml:space="preserve">En el caso de la fragilidad y las caídas, la entrada exige un cribado de fragilidad positivo realizado por enfermería.</w:t>
      </w:r>
    </w:p>
    <w:p>
      <w:pPr>
        <w:pStyle w:val="ListParagraph"/>
        <w:numPr>
          <w:ilvl w:val="0"/>
          <w:numId w:val="6"/>
        </w:numPr>
        <w:spacing w:after="60"/>
      </w:pPr>
      <w:r>
        <w:rPr>
          <w:rFonts w:ascii="Calibri" w:cs="Calibri" w:eastAsia="Calibri" w:hAnsi="Calibri"/>
        </w:rPr>
        <w:t xml:space="preserve">Fisioterapia incorpora a la persona a un programa individual, grupal o domiciliario.</w:t>
      </w:r>
    </w:p>
    <w:p>
      <w:pPr>
        <w:pStyle w:val="ListParagraph"/>
        <w:numPr>
          <w:ilvl w:val="0"/>
          <w:numId w:val="6"/>
        </w:numPr>
        <w:spacing w:after="60"/>
      </w:pPr>
      <w:r>
        <w:rPr>
          <w:rFonts w:ascii="Calibri" w:cs="Calibri" w:eastAsia="Calibri" w:hAnsi="Calibri"/>
        </w:rPr>
        <w:t xml:space="preserve">Enfermería y fisioterapia comparten el seguimiento.</w:t>
      </w:r>
    </w:p>
    <w:p>
      <w:pPr>
        <w:spacing w:after="140"/>
        <w:jc w:val="both"/>
      </w:pPr>
      <w:r>
        <w:rPr>
          <w:rFonts w:ascii="Calibri" w:cs="Calibri" w:eastAsia="Calibri" w:hAnsi="Calibri"/>
        </w:rPr>
        <w:t xml:space="preserve">La necesidad es visible en Madrid. El 11,8 % de las personas de 65 a 79 años tiene algún grado de dependencia para las actividades básicas de la vida diaria [138]. El 10,2 % de las personas mayores de 65 años sufrió en el último año una caída que requirió asistencia sanitaria [138]. Además, el 32,2 % de las personas de 65 a 79 años vive con miedo a caerse [138].</w:t>
      </w:r>
    </w:p>
    <w:p>
      <w:pPr>
        <w:spacing w:after="140"/>
        <w:jc w:val="both"/>
      </w:pPr>
      <w:r>
        <w:rPr>
          <w:rFonts w:ascii="Calibri" w:cs="Calibri" w:eastAsia="Calibri" w:hAnsi="Calibri"/>
        </w:rPr>
        <w:t xml:space="preserve">Los ensayos españoles en AP respaldan este circuito. Una intervención con valoración nutricional y actividad física redujo la progresión a fragilidad en personas prefrágiles [134]. Otra intervención multifactorial mejoró la función física de personas mayores frágiles [135]. En ambos casos, la captación se hizo desde la consulta de AP, que es el papel que este circuito asigna a enfermería [134, 135].</w:t>
      </w:r>
    </w:p>
    <w:p>
      <w:pPr>
        <w:pStyle w:val="Heading2"/>
      </w:pPr>
      <w:r>
        <w:rPr>
          <w:rFonts w:ascii="Calibri" w:cs="Calibri" w:eastAsia="Calibri" w:hAnsi="Calibri"/>
        </w:rPr>
        <w:t xml:space="preserve">6.5. Circuito 4. Derivación desde medicina de atención hospitalaria</w:t>
      </w:r>
    </w:p>
    <w:p>
      <w:pPr>
        <w:spacing w:after="140"/>
        <w:jc w:val="both"/>
      </w:pPr>
      <w:r>
        <w:rPr>
          <w:rFonts w:ascii="Calibri" w:cs="Calibri" w:eastAsia="Calibri" w:hAnsi="Calibri"/>
        </w:rPr>
        <w:t xml:space="preserve">Se proponen tres situaciones en las que la derivación desde medicina de atención hospitalaria a fisioterapia de AP es una opción viable. En esas situaciones, la derivación es también eficiente para el paciente y para el sistema:</w:t>
      </w:r>
    </w:p>
    <w:p>
      <w:pPr>
        <w:pStyle w:val="ListParagraph"/>
        <w:numPr>
          <w:ilvl w:val="0"/>
          <w:numId w:val="3"/>
        </w:numPr>
        <w:spacing w:after="60"/>
      </w:pPr>
      <w:r>
        <w:rPr>
          <w:rFonts w:ascii="Calibri" w:cs="Calibri" w:eastAsia="Calibri" w:hAnsi="Calibri"/>
        </w:rPr>
        <w:t xml:space="preserve">La continuidad asistencial tras el alta, con pérdida funcional leve o moderada en procesos respiratorios, cardiológicos, neurológicos u oncológicos.</w:t>
      </w:r>
    </w:p>
    <w:p>
      <w:pPr>
        <w:pStyle w:val="ListParagraph"/>
        <w:numPr>
          <w:ilvl w:val="0"/>
          <w:numId w:val="3"/>
        </w:numPr>
        <w:spacing w:after="60"/>
      </w:pPr>
      <w:r>
        <w:rPr>
          <w:rFonts w:ascii="Calibri" w:cs="Calibri" w:eastAsia="Calibri" w:hAnsi="Calibri"/>
        </w:rPr>
        <w:t xml:space="preserve">Un proceso leve o moderado que no requiere rehabilitación hospitalaria, como la artrosis, el dolor lumbar o el hombro doloroso no quirúrgico.</w:t>
      </w:r>
    </w:p>
    <w:p>
      <w:pPr>
        <w:pStyle w:val="ListParagraph"/>
        <w:numPr>
          <w:ilvl w:val="0"/>
          <w:numId w:val="3"/>
        </w:numPr>
        <w:spacing w:after="60"/>
      </w:pPr>
      <w:r>
        <w:rPr>
          <w:rFonts w:ascii="Calibri" w:cs="Calibri" w:eastAsia="Calibri" w:hAnsi="Calibri"/>
        </w:rPr>
        <w:t xml:space="preserve">El seguimiento funcional comunitario de la fragilidad, las caídas o el ejercicio terapéutico supervisado.</w:t>
      </w:r>
    </w:p>
    <w:p>
      <w:pPr>
        <w:spacing w:after="140"/>
        <w:jc w:val="both"/>
      </w:pPr>
      <w:r>
        <w:rPr>
          <w:rFonts w:ascii="Calibri" w:cs="Calibri" w:eastAsia="Calibri" w:hAnsi="Calibri"/>
        </w:rPr>
        <w:t xml:space="preserve">La derivación exige cuatro condiciones:</w:t>
      </w:r>
    </w:p>
    <w:p>
      <w:pPr>
        <w:pStyle w:val="ListParagraph"/>
        <w:numPr>
          <w:ilvl w:val="0"/>
          <w:numId w:val="7"/>
        </w:numPr>
        <w:spacing w:after="60"/>
      </w:pPr>
      <w:r>
        <w:rPr>
          <w:rFonts w:ascii="Calibri" w:cs="Calibri" w:eastAsia="Calibri" w:hAnsi="Calibri"/>
        </w:rPr>
        <w:t xml:space="preserve">La persona está clínicamente estable.</w:t>
      </w:r>
    </w:p>
    <w:p>
      <w:pPr>
        <w:pStyle w:val="ListParagraph"/>
        <w:numPr>
          <w:ilvl w:val="0"/>
          <w:numId w:val="7"/>
        </w:numPr>
        <w:spacing w:after="60"/>
      </w:pPr>
      <w:r>
        <w:rPr>
          <w:rFonts w:ascii="Calibri" w:cs="Calibri" w:eastAsia="Calibri" w:hAnsi="Calibri"/>
        </w:rPr>
        <w:t xml:space="preserve">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w:pPr>
        <w:pStyle w:val="ListParagraph"/>
        <w:numPr>
          <w:ilvl w:val="0"/>
          <w:numId w:val="7"/>
        </w:numPr>
        <w:spacing w:after="60"/>
      </w:pPr>
      <w:r>
        <w:rPr>
          <w:rFonts w:ascii="Calibri" w:cs="Calibri" w:eastAsia="Calibri" w:hAnsi="Calibri"/>
        </w:rPr>
        <w:t xml:space="preserve">Existe un informe clínico mínimo con el diagnóstico, las precauciones, los objetivos funcionales y la medicación relevante.</w:t>
      </w:r>
    </w:p>
    <w:p>
      <w:pPr>
        <w:pStyle w:val="ListParagraph"/>
        <w:numPr>
          <w:ilvl w:val="0"/>
          <w:numId w:val="7"/>
        </w:numPr>
        <w:spacing w:after="60"/>
      </w:pPr>
      <w:r>
        <w:rPr>
          <w:rFonts w:ascii="Calibri" w:cs="Calibri" w:eastAsia="Calibri" w:hAnsi="Calibri"/>
        </w:rPr>
        <w:t xml:space="preserve">El informe define un criterio de reevaluación o de retorno.</w:t>
      </w:r>
    </w:p>
    <w:p>
      <w:pPr>
        <w:spacing w:after="140"/>
        <w:jc w:val="both"/>
      </w:pPr>
      <w:r>
        <w:rPr>
          <w:rFonts w:ascii="Calibri" w:cs="Calibri" w:eastAsia="Calibri" w:hAnsi="Calibri"/>
        </w:rPr>
        <w:t xml:space="preserve">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w:pPr>
        <w:spacing w:after="140"/>
        <w:jc w:val="both"/>
      </w:pPr>
      <w:r>
        <w:rPr>
          <w:rFonts w:ascii="Calibri" w:cs="Calibri" w:eastAsia="Calibri" w:hAnsi="Calibri"/>
        </w:rPr>
        <w:t xml:space="preserve">El análisis gallego de 2019 advertía de un efecto adverso del circuito inverso [8]. Cuando la persona con dolor persistente pasa por atención hospitalaria solo para iniciar un programa de fisioterapia, aumentan la espera y el gasto [8]. Este documento comparte esa advertencia. Los programas del anexo A se inician en AP, y la atención hospitalaria deriva a ellos cuando el proceso está estable.</w:t>
      </w:r>
    </w:p>
    <w:p>
      <w:pPr>
        <w:pStyle w:val="Heading2"/>
      </w:pPr>
      <w:r>
        <w:rPr>
          <w:rFonts w:ascii="Calibri" w:cs="Calibri" w:eastAsia="Calibri" w:hAnsi="Calibri"/>
        </w:rPr>
        <w:t xml:space="preserve">6.6. Circuito 5. Retorno desde rehabilitación hospitalaria</w:t>
      </w:r>
    </w:p>
    <w:p>
      <w:pPr>
        <w:spacing w:after="140"/>
        <w:jc w:val="both"/>
      </w:pPr>
      <w:r>
        <w:rPr>
          <w:rFonts w:ascii="Calibri" w:cs="Calibri" w:eastAsia="Calibri" w:hAnsi="Calibri"/>
        </w:rPr>
        <w:t xml:space="preserve">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 El informe de alta de rehabilitación debe indicar los objetivos funcionales pendientes, las precauciones y el criterio de retorno, igual que el informe del circuito 4.</w:t>
      </w:r>
    </w:p>
    <w:p>
      <w:pPr>
        <w:keepNext/>
        <w:spacing w:after="80" w:before="200"/>
      </w:pPr>
      <w:r>
        <w:rPr>
          <w:rFonts w:ascii="Calibri" w:cs="Calibri" w:eastAsia="Calibri" w:hAnsi="Calibri"/>
          <w:b/>
          <w:bCs/>
          <w:color w:val="0096B1"/>
          <w:sz w:val="19"/>
          <w:szCs w:val="19"/>
        </w:rPr>
        <w:t xml:space="preserve">Tabla 6.2. Procesos y situaciones que entran solo por derivación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468"/>
        <w:gridCol w:w="2926"/>
        <w:gridCol w:w="2926"/>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4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o situación</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entrada</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Riesgo de caídas y fragilidad [124, 134]</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positivo realizado por enfermería familiar y comunitaria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 en fase estable [127]</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 Enfermería familiar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P11</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Pérdida funcional leve o moderada tras el alta hospitalaria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P12</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musculoesquelético leve o moderado que no requiere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P13</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funcional comunitario de la fragilidad o del riesgo de caídas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P14</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Continuidad tras la fase de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alta de rehabilitación con objetivos de continuidad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Retorno desde rehabilitación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P15</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inmovilidad o barreras funcionales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de necesidades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Trabajo social sanitario, 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P16</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Embarazo, posparto o disfunción de suelo pélvico de baja complejidad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incluido en la cartera autonómica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Matrona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P17</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pediátrico incluido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Oferta pediátrica definida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w:t>
            </w:r>
          </w:p>
        </w:tc>
      </w:tr>
    </w:tbl>
    <w:p>
      <w:pPr>
        <w:spacing w:after="200" w:before="60"/>
      </w:pPr>
      <w:r>
        <w:rPr>
          <w:rFonts w:ascii="Calibri" w:cs="Calibri" w:eastAsia="Calibri" w:hAnsi="Calibri"/>
          <w:i/>
          <w:iCs/>
          <w:color w:val="8C8C8C"/>
          <w:sz w:val="17"/>
          <w:szCs w:val="17"/>
        </w:rPr>
        <w:t xml:space="preserve">Fuente: anexo C.</w:t>
      </w:r>
    </w:p>
    <w:p>
      <w:pPr>
        <w:pStyle w:val="Heading2"/>
      </w:pPr>
      <w:r>
        <w:rPr>
          <w:rFonts w:ascii="Calibri" w:cs="Calibri" w:eastAsia="Calibri" w:hAnsi="Calibri"/>
        </w:rPr>
        <w:t xml:space="preserve">6.7. Coordinación con otras unidades de atención específica</w:t>
      </w:r>
    </w:p>
    <w:p>
      <w:pPr>
        <w:spacing w:after="140"/>
        <w:jc w:val="both"/>
      </w:pPr>
      <w:r>
        <w:rPr>
          <w:rFonts w:ascii="Calibri" w:cs="Calibri" w:eastAsia="Calibri" w:hAnsi="Calibri"/>
        </w:rPr>
        <w:t xml:space="preserve">La fisioterapia de AP comparte centro con otras unidades de atención específica. La instrucción madrileña las regula en el mismo documento y muestra tres puntos de contacto con la fisioterapia [9].</w:t>
      </w:r>
    </w:p>
    <w:p>
      <w:pPr>
        <w:pStyle w:val="ListParagraph"/>
        <w:numPr>
          <w:ilvl w:val="0"/>
          <w:numId w:val="3"/>
        </w:numPr>
        <w:spacing w:after="60"/>
      </w:pPr>
      <w:r>
        <w:rPr>
          <w:rFonts w:ascii="Calibri" w:cs="Calibri" w:eastAsia="Calibri" w:hAnsi="Calibri"/>
          <w:b/>
          <w:bCs/>
          <w:color w:val="00768E"/>
        </w:rPr>
        <w:t xml:space="preserve">Trabajo social sanitario.</w:t>
      </w:r>
      <w:r>
        <w:rPr>
          <w:rFonts w:ascii="Calibri" w:cs="Calibri" w:eastAsia="Calibri" w:hAnsi="Calibri"/>
        </w:rPr>
        <w:t xml:space="preserve"> Los fisioterapeutas figuran entre los profesionales del centro que pueden captar una demanda para trabajo social [9]. El plan social anual de las personas con fragilidad o deterioro funcional incluye la valoración de la persona cuidadora y la coordinación sociosanitaria [9]. Este contacto sostiene el circuito 3 y la derivación desde trabajo social sanitario de la tabla 6.1.</w:t>
      </w:r>
    </w:p>
    <w:p>
      <w:pPr>
        <w:pStyle w:val="ListParagraph"/>
        <w:numPr>
          <w:ilvl w:val="0"/>
          <w:numId w:val="3"/>
        </w:numPr>
        <w:spacing w:after="60"/>
      </w:pPr>
      <w:r>
        <w:rPr>
          <w:rFonts w:ascii="Calibri" w:cs="Calibri" w:eastAsia="Calibri" w:hAnsi="Calibri"/>
          <w:b/>
          <w:bCs/>
          <w:color w:val="00768E"/>
        </w:rPr>
        <w:t xml:space="preserve">Matronas.</w:t>
      </w:r>
      <w:r>
        <w:rPr>
          <w:rFonts w:ascii="Calibri" w:cs="Calibri" w:eastAsia="Calibri" w:hAnsi="Calibri"/>
        </w:rPr>
        <w:t xml:space="preserve"> Las matronas atienden a demanda las alteraciones del compartimento abdominopélvico, con valoración del suelo pélvico y entrenamiento de su musculatura [9]. La instrucción prevé la derivación hospitalaria si es precisa, pero no menciona a la fisioterapia de AP [9]. Este documento propone que la matrona pueda derivar a fisioterapia de AP los procesos de suelo pélvico de baja complejidad, como recoge la matriz del anexo C.</w:t>
      </w:r>
    </w:p>
    <w:p>
      <w:pPr>
        <w:pStyle w:val="ListParagraph"/>
        <w:numPr>
          <w:ilvl w:val="0"/>
          <w:numId w:val="3"/>
        </w:numPr>
        <w:spacing w:after="60"/>
      </w:pPr>
      <w:r>
        <w:rPr>
          <w:rFonts w:ascii="Calibri" w:cs="Calibri" w:eastAsia="Calibri" w:hAnsi="Calibri"/>
          <w:b/>
          <w:bCs/>
          <w:color w:val="00768E"/>
        </w:rPr>
        <w:t xml:space="preserve">Medicina y enfermería de familia.</w:t>
      </w:r>
      <w:r>
        <w:rPr>
          <w:rFonts w:ascii="Calibri" w:cs="Calibri" w:eastAsia="Calibri" w:hAnsi="Calibri"/>
        </w:rPr>
        <w:t xml:space="preserve"> Ambas reciben a la persona cuando la instrucción la excluye de la cita directa con fisioterapia [9]. Esa salida coincide con las exclusiones de la tabla 8.2.</w:t>
      </w:r>
    </w:p>
    <w:p>
      <w:pPr>
        <w:spacing w:after="140"/>
        <w:jc w:val="both"/>
      </w:pPr>
      <w:r>
        <w:rPr>
          <w:rFonts w:ascii="Calibri" w:cs="Calibri" w:eastAsia="Calibri" w:hAnsi="Calibri"/>
        </w:rPr>
        <w:t xml:space="preserve">La instrucción señala también que el protocolo de valoración del compartimento abdominopélvico está pendiente de desarrollo en AP [9]. El grupo de trabajo puede aprovechar ese vacío para definir un protocolo común de matronas y fisioterapia.</w:t>
      </w:r>
    </w:p>
    <w:p>
      <w:pPr>
        <w:pStyle w:val="Heading2"/>
      </w:pPr>
      <w:r>
        <w:rPr>
          <w:rFonts w:ascii="Calibri" w:cs="Calibri" w:eastAsia="Calibri" w:hAnsi="Calibri"/>
        </w:rPr>
        <w:t xml:space="preserve">6.8. Matriz de coherencia</w:t>
      </w:r>
    </w:p>
    <w:p>
      <w:pPr>
        <w:spacing w:after="140"/>
        <w:jc w:val="both"/>
      </w:pPr>
      <w:r>
        <w:rPr>
          <w:rFonts w:ascii="Calibri" w:cs="Calibri" w:eastAsia="Calibri" w:hAnsi="Calibri"/>
        </w:rPr>
        <w:t xml:space="preserve">El anexo C reúne en una sola tabla todos los procesos, las vías de entrada, las condiciones, las exclusiones y los circuitos alternativos. Las tablas de las secciones 5, 6 y 8 proceden de esa matriz. De esta forma, ningún proceso puede aparecer a la vez como incluido y como excluido.</w:t>
      </w:r>
    </w:p>
    <w:p>
      <w:pPr>
        <w:pStyle w:val="Heading1"/>
        <w:pageBreakBefore/>
      </w:pPr>
      <w:r>
        <w:rPr>
          <w:rFonts w:ascii="Calibri" w:cs="Calibri" w:eastAsia="Calibri" w:hAnsi="Calibri"/>
        </w:rPr>
        <w:t xml:space="preserve">7. Competencias solicitadas y marco legal</w:t>
      </w:r>
    </w:p>
    <w:p>
      <w:pPr>
        <w:spacing w:after="140"/>
        <w:jc w:val="both"/>
      </w:pPr>
      <w:r>
        <w:rPr>
          <w:rFonts w:ascii="Calibri" w:cs="Calibri" w:eastAsia="Calibri" w:hAnsi="Calibri"/>
        </w:rPr>
        <w:t xml:space="preserve">Esta sección declara qué nivel de autonomía pide este documento para el fisioterapeuta de AP y qué no pide. El lector no debe inferirlo del modelo inglés de la sección 4.1.</w:t>
      </w:r>
    </w:p>
    <w:p>
      <w:pPr>
        <w:pStyle w:val="Heading2"/>
      </w:pPr>
      <w:r>
        <w:rPr>
          <w:rFonts w:ascii="Calibri" w:cs="Calibri" w:eastAsia="Calibri" w:hAnsi="Calibri"/>
        </w:rPr>
        <w:t xml:space="preserve">7.1. Competencias que ya amparan la Ley 44/2003 y la Orden CIN/2135/2008</w:t>
      </w:r>
    </w:p>
    <w:p>
      <w:pPr>
        <w:spacing w:after="140"/>
        <w:jc w:val="both"/>
      </w:pPr>
      <w:r>
        <w:rPr>
          <w:rFonts w:ascii="Calibri" w:cs="Calibri" w:eastAsia="Calibri" w:hAnsi="Calibri"/>
        </w:rPr>
        <w:t xml:space="preserve">La Ley 44/2003 ampara hoy la valoración, el diagnóstico fisioterapéutico, el plan de intervención, el alta fisioterapéutica y la derivación a otro profesional del equipo [1]. Estas competencias no requieren ningún cambio normativo.</w:t>
      </w:r>
    </w:p>
    <w:p>
      <w:pPr>
        <w:spacing w:after="140"/>
        <w:jc w:val="both"/>
      </w:pPr>
      <w:r>
        <w:rPr>
          <w:rFonts w:ascii="Calibri" w:cs="Calibri" w:eastAsia="Calibri" w:hAnsi="Calibri"/>
        </w:rPr>
        <w:t xml:space="preserve">La Orden CIN/2135/2008 concreta ese núcleo en las competencias del título que habilita para ejercer la profesión [139]. Entre ellas figuran la valoración del estado funcional, la valoración diagnóstica de fisioterapia, el diseño y la evaluación del plan de intervención y el informe de alta [139]. Figuran también la intervención en promoción, prevención y recuperación de la salud, y el trabajo en equipo con continuidad asistencial [139]. Estas funciones forman parte, por tanto, del núcleo del título habilitante y no de una ampliación experimental del rol.</w:t>
      </w:r>
    </w:p>
    <w:p>
      <w:pPr>
        <w:spacing w:after="140"/>
        <w:jc w:val="both"/>
      </w:pPr>
      <w:r>
        <w:rPr>
          <w:rFonts w:ascii="Calibri" w:cs="Calibri" w:eastAsia="Calibri" w:hAnsi="Calibri"/>
        </w:rPr>
        <w:t xml:space="preserve">El Plan de Acción de Atención Primaria y Comunitaria 2025-2027 prevé un mapa de competencias para cada perfil profesional de AP, incluido el fisioterapeuta [48]. Las competencias de esta sección ofrecen la base de ese mapa para la fisioterapia.</w:t>
      </w:r>
    </w:p>
    <w:p>
      <w:pPr>
        <w:spacing w:after="140"/>
        <w:jc w:val="both"/>
      </w:pPr>
      <w:r>
        <w:rPr>
          <w:rFonts w:ascii="Calibri" w:cs="Calibri" w:eastAsia="Calibri" w:hAnsi="Calibri"/>
        </w:rPr>
        <w:t xml:space="preserve">La evidencia internacional respalda la capacidad diagnóstica que estas competencias presuponen. Una revisión con metaanálisis encontró un kappa de 0,76 para la concordancia diagnóstica entre el fisioterapeuta de práctica avanzada y el médico, con certeza moderada [108]. Otra revisión situó la concordancia diagnóstica con el cirujano ortopédico entre el 65 % y el 100 % [107]. En España, la instrucción madrileña ya encarga al fisioterapeuta la valoración clínica de tres procesos, con pruebas de exploración y cuestionarios definidos [9].</w:t>
      </w:r>
    </w:p>
    <w:p>
      <w:pPr>
        <w:pStyle w:val="Heading2"/>
      </w:pPr>
      <w:r>
        <w:rPr>
          <w:rFonts w:ascii="Calibri" w:cs="Calibri" w:eastAsia="Calibri" w:hAnsi="Calibri"/>
        </w:rPr>
        <w:t xml:space="preserve">7.2. Competencias que requieren desarrollo autonómico o protocolo</w:t>
      </w:r>
    </w:p>
    <w:p>
      <w:pPr>
        <w:spacing w:after="140"/>
        <w:jc w:val="both"/>
      </w:pPr>
      <w:r>
        <w:rPr>
          <w:rFonts w:ascii="Calibri" w:cs="Calibri" w:eastAsia="Calibri" w:hAnsi="Calibri"/>
        </w:rPr>
        <w:t xml:space="preserve">El acceso directo del ciudadano requiere un protocolo del servicio de salud. Galicia y Madrid ya lo han regulado [9, 76]. En Madrid, el instrumento es una instrucción de la Gerencia Asistencial de AP, con criterios de citación y de exclusión escritos para cada proceso [9]. La sección 2.5 analiza el rango de ese instrumento. La interconsulta no presencial con atención hospitalaria requiere también un protocolo de cada área sanitaria.</w:t>
      </w:r>
    </w:p>
    <w:p>
      <w:pPr>
        <w:pStyle w:val="Heading2"/>
      </w:pPr>
      <w:r>
        <w:rPr>
          <w:rFonts w:ascii="Calibri" w:cs="Calibri" w:eastAsia="Calibri" w:hAnsi="Calibri"/>
        </w:rPr>
        <w:t xml:space="preserve">7.3. Ecografía como apoyo a la valoración</w:t>
      </w:r>
    </w:p>
    <w:p>
      <w:pPr>
        <w:spacing w:after="140"/>
        <w:jc w:val="both"/>
      </w:pPr>
      <w:r>
        <w:rPr>
          <w:rFonts w:ascii="Calibri" w:cs="Calibri" w:eastAsia="Calibri" w:hAnsi="Calibri"/>
        </w:rPr>
        <w:t xml:space="preserve">Este documento pide el reconocimiento del uso de la ecografía por el fisioterapeuta de AP como herramienta de apoyo a la valoración, la reevaluación y la decisión de derivación. El informe radiológico sigue siendo competencia del médico especialista. La ecografía no emplea radiaciones ionizantes, de modo que no está sujeta al Real Decreto 601/2019 [53].</w:t>
      </w:r>
    </w:p>
    <w:p>
      <w:pPr>
        <w:spacing w:after="140"/>
        <w:jc w:val="both"/>
      </w:pPr>
      <w:r>
        <w:rPr>
          <w:rFonts w:ascii="Calibri" w:cs="Calibri" w:eastAsia="Calibri" w:hAnsi="Calibri"/>
        </w:rPr>
        <w:t xml:space="preserve">La Resolución 1/2023 del Consejo General de Colegios de Fisioterapeutas de España considera la ecografía una herramienta inherente al proceso de atención en fisioterapia [10, 140]. Según esa resolución, la imagen no sustituye a la exploración física, sino que mejora la valoración y ayuda a decidir la derivación ante un signo de alarma [10, 140]. La Comunidad de Madrid completó en 2022 la implantación de la ecografía en sus centros de salud, con 450 equipos fijos y portátiles [141]. Según la misma nota oficial, esos equipos los utilizan médicos de familia, pediatras y, desde fechas recientes, fisioterapeutas [141]. La Gerencia Asistencial de AP incluyó además el manejo del ecógrafo en su formación de fisioterapeutas de 2025 [142].</w:t>
      </w:r>
    </w:p>
    <w:p>
      <w:pPr>
        <w:spacing w:after="140"/>
        <w:jc w:val="both"/>
      </w:pPr>
      <w:r>
        <w:rPr>
          <w:rFonts w:ascii="Calibri" w:cs="Calibri" w:eastAsia="Calibri" w:hAnsi="Calibri"/>
        </w:rPr>
        <w:t xml:space="preserve">El documento fija tres requisitos para esta competencia: formación acreditada, un protocolo de uso y el registro de cada exploración en la historia clínica. El indicador de adecuación de la radiografía simple no se aplica a la ecografía, porque esta no se solicita a otro servicio. Su seguimiento se hace con la auditoría de registros que prevé la sección 11.3.</w:t>
      </w:r>
    </w:p>
    <w:p>
      <w:pPr>
        <w:pStyle w:val="Heading2"/>
      </w:pPr>
      <w:r>
        <w:rPr>
          <w:rFonts w:ascii="Calibri" w:cs="Calibri" w:eastAsia="Calibri" w:hAnsi="Calibri"/>
        </w:rPr>
        <w:t xml:space="preserve">7.4. Solicitud de radiología simple</w:t>
      </w:r>
    </w:p>
    <w:p>
      <w:pPr>
        <w:spacing w:after="140"/>
        <w:jc w:val="both"/>
      </w:pPr>
      <w:r>
        <w:rPr>
          <w:rFonts w:ascii="Calibri" w:cs="Calibri" w:eastAsia="Calibri" w:hAnsi="Calibri"/>
        </w:rPr>
        <w:t xml:space="preserve">Este documento pide al Ministerio de Sanidad la habilitación expresa del fisioterapeuta de atención primaria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[10].</w:t>
      </w:r>
    </w:p>
    <w:p>
      <w:pPr>
        <w:spacing w:after="140"/>
        <w:jc w:val="both"/>
      </w:pPr>
      <w:r>
        <w:rPr>
          <w:rFonts w:ascii="Calibri" w:cs="Calibri" w:eastAsia="Calibri" w:hAnsi="Calibri"/>
        </w:rPr>
        <w:t xml:space="preserve">La petición se apoya en seis argumentos:</w:t>
      </w:r>
    </w:p>
    <w:p>
      <w:pPr>
        <w:pStyle w:val="ListParagraph"/>
        <w:numPr>
          <w:ilvl w:val="0"/>
          <w:numId w:val="3"/>
        </w:numPr>
        <w:spacing w:after="60"/>
      </w:pPr>
      <w:r>
        <w:rPr>
          <w:rFonts w:ascii="Calibri" w:cs="Calibri" w:eastAsia="Calibri" w:hAnsi="Calibri"/>
          <w:b/>
          <w:bCs/>
          <w:color w:val="00768E"/>
        </w:rPr>
        <w:t xml:space="preserve">Prescriptor y profesional habilitado.</w:t>
      </w:r>
      <w:r>
        <w:rPr>
          <w:rFonts w:ascii="Calibri" w:cs="Calibri" w:eastAsia="Calibri" w:hAnsi="Calibri"/>
        </w:rPr>
        <w:t xml:space="preserve"> El Real Decreto 601/2019 abre la figura del prescriptor a otro profesional sanitario autorizado [53]. La responsabilidad clínica de la exposición corresponde al profesional sanitario habilitado, que en radiodiagnóstico es el radiólogo [53]. Este documento pide la condición de prescriptor y no la de profesional habilitado.</w:t>
      </w:r>
    </w:p>
    <w:p>
      <w:pPr>
        <w:pStyle w:val="ListParagraph"/>
        <w:numPr>
          <w:ilvl w:val="0"/>
          <w:numId w:val="3"/>
        </w:numPr>
        <w:spacing w:after="60"/>
      </w:pPr>
      <w:r>
        <w:rPr>
          <w:rFonts w:ascii="Calibri" w:cs="Calibri" w:eastAsia="Calibri" w:hAnsi="Calibri"/>
          <w:b/>
          <w:bCs/>
          <w:color w:val="00768E"/>
        </w:rPr>
        <w:t xml:space="preserve">Precedente de la podología.</w:t>
      </w:r>
      <w:r>
        <w:rPr>
          <w:rFonts w:ascii="Calibri" w:cs="Calibri" w:eastAsia="Calibri" w:hAnsi="Calibri"/>
        </w:rPr>
        <w:t xml:space="preserve"> El mismo real decreto incluye a la podología, en su ámbito, entre los profesionales sanitarios habilitados [53]. El colegio profesional madrileño considera que la vía para la fisioterapia sería análoga [10].</w:t>
      </w:r>
    </w:p>
    <w:p>
      <w:pPr>
        <w:pStyle w:val="ListParagraph"/>
        <w:numPr>
          <w:ilvl w:val="0"/>
          <w:numId w:val="3"/>
        </w:numPr>
        <w:spacing w:after="60"/>
      </w:pPr>
      <w:r>
        <w:rPr>
          <w:rFonts w:ascii="Calibri" w:cs="Calibri" w:eastAsia="Calibri" w:hAnsi="Calibri"/>
          <w:b/>
          <w:bCs/>
          <w:color w:val="00768E"/>
        </w:rPr>
        <w:t xml:space="preserve">Marco europeo.</w:t>
      </w:r>
      <w:r>
        <w:rPr>
          <w:rFonts w:ascii="Calibri" w:cs="Calibri" w:eastAsia="Calibri" w:hAnsi="Calibri"/>
        </w:rPr>
        <w:t xml:space="preserve"> La Directiva 2013/59/Euratom no reserva en exclusiva a los médicos la remisión a procedimientos radiológicos [54].</w:t>
      </w:r>
    </w:p>
    <w:p>
      <w:pPr>
        <w:pStyle w:val="ListParagraph"/>
        <w:numPr>
          <w:ilvl w:val="0"/>
          <w:numId w:val="3"/>
        </w:numPr>
        <w:spacing w:after="60"/>
      </w:pPr>
      <w:r>
        <w:rPr>
          <w:rFonts w:ascii="Calibri" w:cs="Calibri" w:eastAsia="Calibri" w:hAnsi="Calibri"/>
          <w:b/>
          <w:bCs/>
          <w:color w:val="00768E"/>
        </w:rPr>
        <w:t xml:space="preserve">Planificación estatal.</w:t>
      </w:r>
      <w:r>
        <w:rPr>
          <w:rFonts w:ascii="Calibri" w:cs="Calibri" w:eastAsia="Calibri" w:hAnsi="Calibri"/>
        </w:rPr>
        <w:t xml:space="preserve"> La acción A.4.4 del Marco Estratégico pide incrementar la capacidad resolutiva de la fisioterapia mediante circuitos y protocolos [46].</w:t>
      </w:r>
    </w:p>
    <w:p>
      <w:pPr>
        <w:pStyle w:val="ListParagraph"/>
        <w:numPr>
          <w:ilvl w:val="0"/>
          <w:numId w:val="3"/>
        </w:numPr>
        <w:spacing w:after="60"/>
      </w:pPr>
      <w:r>
        <w:rPr>
          <w:rFonts w:ascii="Calibri" w:cs="Calibri" w:eastAsia="Calibri" w:hAnsi="Calibri"/>
          <w:b/>
          <w:bCs/>
          <w:color w:val="00768E"/>
        </w:rPr>
        <w:t xml:space="preserve">Circuito redundante.</w:t>
      </w:r>
      <w:r>
        <w:rPr>
          <w:rFonts w:ascii="Calibri" w:cs="Calibri" w:eastAsia="Calibri" w:hAnsi="Calibri"/>
        </w:rPr>
        <w:t xml:space="preserve"> El acceso directo sin capacidad de solicitud genera la derivación intermedia que pretendía evitar. En un esguince de tobillo con reglas de Ottawa positivas, la persona tiene que volver a otra consulta solo para que otro profesional firme la petición [10, 143]. La instrucción madrileña reconoce en el esguince de tobillo la utilidad de la radiología para descartar lesiones óseas, pero no habilita al fisioterapeuta para pedirla [9]. La doble consulta es, por tanto, una consecuencia prevista del circuito vigente.</w:t>
      </w:r>
    </w:p>
    <w:p>
      <w:pPr>
        <w:pStyle w:val="ListParagraph"/>
        <w:numPr>
          <w:ilvl w:val="0"/>
          <w:numId w:val="3"/>
        </w:numPr>
        <w:spacing w:after="60"/>
      </w:pPr>
      <w:r>
        <w:rPr>
          <w:rFonts w:ascii="Calibri" w:cs="Calibri" w:eastAsia="Calibri" w:hAnsi="Calibri"/>
          <w:b/>
          <w:bCs/>
          <w:color w:val="00768E"/>
        </w:rPr>
        <w:t xml:space="preserve">Experiencia comparada.</w:t>
      </w:r>
      <w:r>
        <w:rPr>
          <w:rFonts w:ascii="Calibri" w:cs="Calibri" w:eastAsia="Calibri" w:hAnsi="Calibri"/>
        </w:rPr>
        <w:t xml:space="preserve"> En el Reino Unido, la normativa sobre exposiciones médicas reconoce al remitente no médico habilitado por su empleador [144]. La hoja de ruta de Health Education England incluye la solicitud de pruebas entre las capacidades del fisioterapeuta de primer contacto [83].</w:t>
      </w:r>
    </w:p>
    <w:p>
      <w:pPr>
        <w:spacing w:after="140"/>
        <w:jc w:val="both"/>
      </w:pPr>
      <w:r>
        <w:rPr>
          <w:rFonts w:ascii="Calibri" w:cs="Calibri" w:eastAsia="Calibri" w:hAnsi="Calibri"/>
        </w:rPr>
        <w:t xml:space="preserve">Las guías de práctica clínica de alta calidad recomiendan usar la imagen de forma selectiva en el dolor musculoesquelético [123]. Por eso la solicitud se limita a los casos en los que el resultado puede cambiar la decisión clínica. El alcance que se pide es, además, limitado. Incluye solo la radiología simple musculoesquelética de los procesos protocolizados, con reglas de decisión validadas como las de Ottawa [143, 145].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w:pPr>
        <w:spacing w:after="140"/>
        <w:jc w:val="both"/>
      </w:pPr>
      <w:r>
        <w:rPr>
          <w:rFonts w:ascii="Calibri" w:cs="Calibri" w:eastAsia="Calibri" w:hAnsi="Calibri"/>
        </w:rPr>
        <w:t xml:space="preserve">Mientras la habilitación no se apruebe, el circuito usa un protocolo compartido con medicina de familia para la radiografía simple. Así, el acceso directo funciona desde el primer día sin depender de la reforma.</w:t>
      </w:r>
    </w:p>
    <w:p>
      <w:pPr>
        <w:pStyle w:val="Heading2"/>
      </w:pPr>
      <w:r>
        <w:rPr>
          <w:rFonts w:ascii="Calibri" w:cs="Calibri" w:eastAsia="Calibri" w:hAnsi="Calibri"/>
        </w:rPr>
        <w:t xml:space="preserve">7.5. Compatibilidad con la cartera común</w:t>
      </w:r>
    </w:p>
    <w:p>
      <w:pPr>
        <w:spacing w:after="140"/>
        <w:jc w:val="both"/>
      </w:pPr>
      <w:r>
        <w:rPr>
          <w:rFonts w:ascii="Calibri" w:cs="Calibri" w:eastAsia="Calibri" w:hAnsi="Calibri"/>
        </w:rPr>
        <w:t xml:space="preserve">El apartado 6 del anexo II del Real Decreto 1030/2006 exige «previa indicación médica» para la rehabilitación básica [43]. El inciso afecta de forma distinta a cada vía de entrada de la sección 6.1. La derivación desde medicina de familia lo cumple sin ningún cambio normativo. La autorreferencia y la derivación desde los demás profesionales del equipo, en cambio, necesitan que el inciso se resuelva. Este documento lo aborda por dos vías complementarias:</w:t>
      </w:r>
    </w:p>
    <w:p>
      <w:pPr>
        <w:pStyle w:val="ListParagraph"/>
        <w:numPr>
          <w:ilvl w:val="0"/>
          <w:numId w:val="3"/>
        </w:numPr>
        <w:spacing w:after="60"/>
      </w:pPr>
      <w:r>
        <w:rPr>
          <w:rFonts w:ascii="Calibri" w:cs="Calibri" w:eastAsia="Calibri" w:hAnsi="Calibri"/>
          <w:b/>
          <w:bCs/>
          <w:color w:val="00768E"/>
        </w:rPr>
        <w:t xml:space="preserve">Para la fase de implantación.</w:t>
      </w:r>
      <w:r>
        <w:rPr>
          <w:rFonts w:ascii="Calibri" w:cs="Calibri" w:eastAsia="Calibri" w:hAnsi="Calibri"/>
        </w:rPr>
        <w:t xml:space="preserve"> Galicia y Madrid sostienen de hecho, con sus protocolos de acceso directo, que un protocolo aprobado por el servicio de salud cumple el requisito [9, 76]. Este documento se apoya en esa lectura, pero reconoce su fragilidad jurídica (sección 2.5).</w:t>
      </w:r>
    </w:p>
    <w:p>
      <w:pPr>
        <w:pStyle w:val="ListParagraph"/>
        <w:numPr>
          <w:ilvl w:val="0"/>
          <w:numId w:val="3"/>
        </w:numPr>
        <w:spacing w:after="60"/>
      </w:pPr>
      <w:r>
        <w:rPr>
          <w:rFonts w:ascii="Calibri" w:cs="Calibri" w:eastAsia="Calibri" w:hAnsi="Calibri"/>
          <w:b/>
          <w:bCs/>
          <w:color w:val="00768E"/>
        </w:rPr>
        <w:t xml:space="preserve">Como petición central al Ministerio de Sanidad.</w:t>
      </w:r>
      <w:r>
        <w:rPr>
          <w:rFonts w:ascii="Calibri" w:cs="Calibri" w:eastAsia="Calibri" w:hAnsi="Calibri"/>
        </w:rPr>
        <w:t xml:space="preserve"> El apartado 6 se actualiza por el procedimiento de los artículos 20 y 21 de la Ley 16/2003 [45]. La actualización recoge en la cartera común la autorreferencia protocolizada y la derivación desde los demás profesionales del equipo.</w:t>
      </w:r>
    </w:p>
    <w:p>
      <w:pPr>
        <w:pStyle w:val="Heading2"/>
      </w:pPr>
      <w:r>
        <w:rPr>
          <w:rFonts w:ascii="Calibri" w:cs="Calibri" w:eastAsia="Calibri" w:hAnsi="Calibri"/>
        </w:rPr>
        <w:t xml:space="preserve">7.6. Prescripción en el proyecto de ley de medicamentos</w:t>
      </w:r>
    </w:p>
    <w:p>
      <w:pPr>
        <w:spacing w:after="140"/>
        <w:jc w:val="both"/>
      </w:pPr>
      <w:r>
        <w:rPr>
          <w:rFonts w:ascii="Calibri" w:cs="Calibri" w:eastAsia="Calibri" w:hAnsi="Calibri"/>
        </w:rPr>
        <w:t xml:space="preserve">El Consejo de Ministros aprobó el 21 de julio de 2026 el Proyecto de Ley de los Medicamentos y Productos Sanitarios [146]. El proyecto incluye a los fisioterapeutas entre los profesionales que pueden prescribir dentro de su ámbito de competencia [146]. Prevé además actualizar en el plazo de un año el marco reglamentario de esa prescripción, con protocolos interdisciplinares [146]. El texto está en tramitación parlamentaria, de modo que su contenido y su calendario pueden cambiar.</w:t>
      </w:r>
    </w:p>
    <w:p>
      <w:pPr>
        <w:spacing w:after="140"/>
        <w:jc w:val="both"/>
      </w:pPr>
      <w:r>
        <w:rPr>
          <w:rFonts w:ascii="Calibri" w:cs="Calibri" w:eastAsia="Calibri" w:hAnsi="Calibri"/>
        </w:rPr>
        <w:t xml:space="preserve">Este documento incorpora la prescripción de fisioterapia como línea de desarrollo de medio plazo, con tres condiciones:</w:t>
      </w:r>
    </w:p>
    <w:p>
      <w:pPr>
        <w:pStyle w:val="ListParagraph"/>
        <w:numPr>
          <w:ilvl w:val="0"/>
          <w:numId w:val="3"/>
        </w:numPr>
        <w:spacing w:after="60"/>
      </w:pPr>
      <w:r>
        <w:rPr>
          <w:rFonts w:ascii="Calibri" w:cs="Calibri" w:eastAsia="Calibri" w:hAnsi="Calibri"/>
          <w:b/>
          <w:bCs/>
          <w:color w:val="00768E"/>
        </w:rPr>
        <w:t xml:space="preserve">Aprobación previa.</w:t>
      </w:r>
      <w:r>
        <w:rPr>
          <w:rFonts w:ascii="Calibri" w:cs="Calibri" w:eastAsia="Calibri" w:hAnsi="Calibri"/>
        </w:rPr>
        <w:t xml:space="preserve"> La prescripción se incorpora al modelo cuando la ley se apruebe y se publique su desarrollo reglamentario.</w:t>
      </w:r>
    </w:p>
    <w:p>
      <w:pPr>
        <w:pStyle w:val="ListParagraph"/>
        <w:numPr>
          <w:ilvl w:val="0"/>
          <w:numId w:val="3"/>
        </w:numPr>
        <w:spacing w:after="60"/>
      </w:pPr>
      <w:r>
        <w:rPr>
          <w:rFonts w:ascii="Calibri" w:cs="Calibri" w:eastAsia="Calibri" w:hAnsi="Calibri"/>
          <w:b/>
          <w:bCs/>
          <w:color w:val="00768E"/>
        </w:rPr>
        <w:t xml:space="preserve">Alcance reglamentario.</w:t>
      </w:r>
      <w:r>
        <w:rPr>
          <w:rFonts w:ascii="Calibri" w:cs="Calibri" w:eastAsia="Calibri" w:hAnsi="Calibri"/>
        </w:rPr>
        <w:t xml:space="preserve"> El reglamento fija qué puede prescribir el fisioterapeuta, y este documento no anticipa ese alcance.</w:t>
      </w:r>
    </w:p>
    <w:p>
      <w:pPr>
        <w:pStyle w:val="ListParagraph"/>
        <w:numPr>
          <w:ilvl w:val="0"/>
          <w:numId w:val="3"/>
        </w:numPr>
        <w:spacing w:after="60"/>
      </w:pPr>
      <w:r>
        <w:rPr>
          <w:rFonts w:ascii="Calibri" w:cs="Calibri" w:eastAsia="Calibri" w:hAnsi="Calibri"/>
          <w:b/>
          <w:bCs/>
          <w:color w:val="00768E"/>
        </w:rPr>
        <w:t xml:space="preserve">Integración en el modelo.</w:t>
      </w:r>
      <w:r>
        <w:rPr>
          <w:rFonts w:ascii="Calibri" w:cs="Calibri" w:eastAsia="Calibri" w:hAnsi="Calibri"/>
        </w:rPr>
        <w:t xml:space="preserve"> El grupo de trabajo de la sección 11.4 articula la prescripción con la matriz común, y la formación de la sección 11.3 la incorpora.</w:t>
      </w:r>
    </w:p>
    <w:p>
      <w:pPr>
        <w:pStyle w:val="Heading2"/>
      </w:pPr>
      <w:r>
        <w:rPr>
          <w:rFonts w:ascii="Calibri" w:cs="Calibri" w:eastAsia="Calibri" w:hAnsi="Calibri"/>
        </w:rPr>
        <w:t xml:space="preserve">7.7. Lo que no se pide</w:t>
      </w:r>
    </w:p>
    <w:p>
      <w:pPr>
        <w:spacing w:after="140"/>
        <w:jc w:val="both"/>
      </w:pPr>
      <w:r>
        <w:rPr>
          <w:rFonts w:ascii="Calibri" w:cs="Calibri" w:eastAsia="Calibri" w:hAnsi="Calibri"/>
        </w:rPr>
        <w:t xml:space="preserve">Este documento no pide ninguna de las siguientes capacidades:</w:t>
      </w:r>
    </w:p>
    <w:p>
      <w:pPr>
        <w:pStyle w:val="ListParagraph"/>
        <w:numPr>
          <w:ilvl w:val="0"/>
          <w:numId w:val="3"/>
        </w:numPr>
        <w:spacing w:after="60"/>
      </w:pPr>
      <w:r>
        <w:rPr>
          <w:rFonts w:ascii="Calibri" w:cs="Calibri" w:eastAsia="Calibri" w:hAnsi="Calibri"/>
        </w:rPr>
        <w:t xml:space="preserve">El ejercicio de la prescripción antes de que se aprueben la ley de medicamentos y su reglamento (sección 7.6).</w:t>
      </w:r>
    </w:p>
    <w:p>
      <w:pPr>
        <w:pStyle w:val="ListParagraph"/>
        <w:numPr>
          <w:ilvl w:val="0"/>
          <w:numId w:val="3"/>
        </w:numPr>
        <w:spacing w:after="60"/>
      </w:pPr>
      <w:r>
        <w:rPr>
          <w:rFonts w:ascii="Calibri" w:cs="Calibri" w:eastAsia="Calibri" w:hAnsi="Calibri"/>
        </w:rPr>
        <w:t xml:space="preserve">La creación de especialidades de fisioterapia.</w:t>
      </w:r>
    </w:p>
    <w:p>
      <w:pPr>
        <w:pStyle w:val="ListParagraph"/>
        <w:numPr>
          <w:ilvl w:val="0"/>
          <w:numId w:val="3"/>
        </w:numPr>
        <w:spacing w:after="60"/>
      </w:pPr>
      <w:r>
        <w:rPr>
          <w:rFonts w:ascii="Calibri" w:cs="Calibri" w:eastAsia="Calibri" w:hAnsi="Calibri"/>
        </w:rPr>
        <w:t xml:space="preserve">La sustitución de la valoración médica en procesos con diagnóstico médico pendiente.</w:t>
      </w:r>
    </w:p>
    <w:p>
      <w:pPr>
        <w:pStyle w:val="ListParagraph"/>
        <w:numPr>
          <w:ilvl w:val="0"/>
          <w:numId w:val="3"/>
        </w:numPr>
        <w:spacing w:after="60"/>
      </w:pPr>
      <w:r>
        <w:rPr>
          <w:rFonts w:ascii="Calibri" w:cs="Calibri" w:eastAsia="Calibri" w:hAnsi="Calibri"/>
        </w:rPr>
        <w:t xml:space="preserve">La interpretación radiológica formal.</w:t>
      </w:r>
    </w:p>
    <w:p>
      <w:pPr>
        <w:pStyle w:val="ListParagraph"/>
        <w:numPr>
          <w:ilvl w:val="0"/>
          <w:numId w:val="3"/>
        </w:numPr>
        <w:spacing w:after="60"/>
      </w:pPr>
      <w:r>
        <w:rPr>
          <w:rFonts w:ascii="Calibri" w:cs="Calibri" w:eastAsia="Calibri" w:hAnsi="Calibri"/>
        </w:rPr>
        <w:t xml:space="preserve">La solicitud de pruebas de imagen avanzada o de mayor dosis.</w:t>
      </w:r>
    </w:p>
    <w:p>
      <w:pPr>
        <w:pStyle w:val="ListParagraph"/>
        <w:numPr>
          <w:ilvl w:val="0"/>
          <w:numId w:val="3"/>
        </w:numPr>
        <w:spacing w:after="60"/>
      </w:pPr>
      <w:r>
        <w:rPr>
          <w:rFonts w:ascii="Calibri" w:cs="Calibri" w:eastAsia="Calibri" w:hAnsi="Calibri"/>
        </w:rPr>
        <w:t xml:space="preserve">La derivación a atención hospitalaria sin pasar por medicina de familia, salvo la derivación urgente.</w:t>
      </w:r>
    </w:p>
    <w:p>
      <w:pPr>
        <w:pStyle w:val="Heading1"/>
        <w:pageBreakBefore/>
      </w:pPr>
      <w:r>
        <w:rPr>
          <w:rFonts w:ascii="Calibri" w:cs="Calibri" w:eastAsia="Calibri" w:hAnsi="Calibri"/>
        </w:rPr>
        <w:t xml:space="preserve">8. Criterios clínicos de acceso directo</w:t>
      </w:r>
    </w:p>
    <w:p>
      <w:pPr>
        <w:spacing w:after="140"/>
        <w:jc w:val="both"/>
      </w:pPr>
      <w:r>
        <w:rPr>
          <w:rFonts w:ascii="Calibri" w:cs="Calibri" w:eastAsia="Calibri" w:hAnsi="Calibri"/>
        </w:rPr>
        <w:t xml:space="preserve">Esta sección fija qué procesos admiten autorreferencia y qué situaciones la excluyen. Las dos tablas proceden de la matriz de coherencia del anexo C. Ninguna condición de acceso es una intervención: cada condición se puede comprobar antes de la cita o en la primera consulta.</w:t>
      </w:r>
    </w:p>
    <w:p>
      <w:pPr>
        <w:pStyle w:val="Heading2"/>
      </w:pPr>
      <w:r>
        <w:rPr>
          <w:rFonts w:ascii="Calibri" w:cs="Calibri" w:eastAsia="Calibri" w:hAnsi="Calibri"/>
        </w:rPr>
        <w:t xml:space="preserve">8.1. Criterio transversal de seguridad clínica</w:t>
      </w:r>
    </w:p>
    <w:p>
      <w:pPr>
        <w:spacing w:after="140"/>
        <w:jc w:val="both"/>
      </w:pPr>
      <w:r>
        <w:rPr>
          <w:rFonts w:ascii="Calibri" w:cs="Calibri" w:eastAsia="Calibri" w:hAnsi="Calibri"/>
        </w:rPr>
        <w:t xml:space="preserve">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w:pPr>
        <w:pStyle w:val="Heading2"/>
      </w:pPr>
      <w:r>
        <w:rPr>
          <w:rFonts w:ascii="Calibri" w:cs="Calibri" w:eastAsia="Calibri" w:hAnsi="Calibri"/>
        </w:rPr>
        <w:t xml:space="preserve">8.2. Procesos con acceso directo</w:t>
      </w:r>
    </w:p>
    <w:p>
      <w:pPr>
        <w:keepNext/>
        <w:spacing w:after="80" w:before="200"/>
      </w:pPr>
      <w:r>
        <w:rPr>
          <w:rFonts w:ascii="Calibri" w:cs="Calibri" w:eastAsia="Calibri" w:hAnsi="Calibri"/>
          <w:b/>
          <w:bCs/>
          <w:color w:val="0096B1"/>
          <w:sz w:val="19"/>
          <w:szCs w:val="19"/>
        </w:rPr>
        <w:t xml:space="preserve">Tabla 8.1.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744"/>
        <w:gridCol w:w="3176"/>
        <w:gridCol w:w="240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7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1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acceso</w:t>
            </w:r>
          </w:p>
        </w:tc>
        <w:tc>
          <w:tcPr>
            <w:tcW w:type="dxa" w:w="2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 [147-149]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déficit neurológico progresivo referido por la persona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no traumático [150, 151]</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leve o moderada de rodilla, cadera o mano [126]</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leve o moderado [9, 143, 145]</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persona puede cargar su peso y caminar tres o cuatro pasos, aunque sea con dificultad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 [9, 39]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previo ni signos sistémicos referidos</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 [9, 39, 152]</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diagnosticado previamente por su médico de familia y comunitaria [19]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 [125]</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bl>
    <w:p>
      <w:pPr>
        <w:spacing w:after="200" w:before="60"/>
      </w:pPr>
      <w:r>
        <w:rPr>
          <w:rFonts w:ascii="Calibri" w:cs="Calibri" w:eastAsia="Calibri" w:hAnsi="Calibri"/>
          <w:i/>
          <w:iCs/>
          <w:color w:val="8C8C8C"/>
          <w:sz w:val="17"/>
          <w:szCs w:val="17"/>
        </w:rPr>
        <w:t xml:space="preserve">Fuente: anexo C. La condición del esguince de tobillo se basa en las reglas de Ottawa [143, 145].</w:t>
      </w:r>
    </w:p>
    <w:p>
      <w:pPr>
        <w:spacing w:after="140"/>
        <w:jc w:val="both"/>
      </w:pPr>
      <w:r>
        <w:rPr>
          <w:rFonts w:ascii="Calibri" w:cs="Calibri" w:eastAsia="Calibri" w:hAnsi="Calibri"/>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[9, 39].</w:t>
      </w:r>
    </w:p>
    <w:p>
      <w:pPr>
        <w:spacing w:after="140"/>
        <w:jc w:val="both"/>
      </w:pPr>
      <w:r>
        <w:rPr>
          <w:rFonts w:ascii="Calibri" w:cs="Calibri" w:eastAsia="Calibri" w:hAnsi="Calibri"/>
        </w:rPr>
        <w:t xml:space="preserve">Las condiciones de la tabla coinciden en lo esencial con la instrucción madrileña, aunque la formulan de otro modo [9]. En la epicondilalgia y la fascitis plantar, ambas excluyen el antecedente traumático [9]. En el esguince de tobillo, la instrucción admite los grados I y II y remite a medicina de familia a quien no puede apoyar el pie [9]. La tabla 8.1 usa en su lugar la capacidad de cargar el peso y dar unos pasos, que procede de las reglas de Ottawa [143]. Esa condición puede comprobarse antes de la cita. La instrucción remite además a medicina de familia la fascitis plantar con indicación de tratamiento ortopédico, un criterio que la primera consulta de fisioterapia puede detectar [9].</w:t>
      </w:r>
    </w:p>
    <w:p>
      <w:pPr>
        <w:pStyle w:val="Heading2"/>
      </w:pPr>
      <w:r>
        <w:rPr>
          <w:rFonts w:ascii="Calibri" w:cs="Calibri" w:eastAsia="Calibri" w:hAnsi="Calibri"/>
        </w:rPr>
        <w:t xml:space="preserve">8.3. Situaciones excluidas del acceso directo</w:t>
      </w:r>
    </w:p>
    <w:p>
      <w:pPr>
        <w:keepNext/>
        <w:spacing w:after="80" w:before="200"/>
      </w:pPr>
      <w:r>
        <w:rPr>
          <w:rFonts w:ascii="Calibri" w:cs="Calibri" w:eastAsia="Calibri" w:hAnsi="Calibri"/>
          <w:b/>
          <w:bCs/>
          <w:color w:val="0096B1"/>
          <w:sz w:val="19"/>
          <w:szCs w:val="19"/>
        </w:rPr>
        <w:t xml:space="preserve">Tabla 8.2. Situaciones excluidas del acceso directo y circuito alternativo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631"/>
        <w:gridCol w:w="4689"/>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36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Situación excluida del acceso directo</w:t>
            </w:r>
          </w:p>
        </w:tc>
        <w:tc>
          <w:tcPr>
            <w:tcW w:type="dxa" w:w="46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X01</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Traumatismo grave</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X02</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Déficit neurológico progresivo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X03</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no mecánico o con signos sistémicos</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X04</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Postquirúrgico de cualquier complejidad</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X05</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de edad</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X06</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Patología laboral o por accidente de tráfico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X07</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severa</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anexo C.</w:t>
      </w:r>
    </w:p>
    <w:p>
      <w:pPr>
        <w:spacing w:after="140"/>
        <w:jc w:val="both"/>
      </w:pPr>
      <w:r>
        <w:rPr>
          <w:rFonts w:ascii="Calibri" w:cs="Calibri" w:eastAsia="Calibri" w:hAnsi="Calibri"/>
        </w:rPr>
        <w:t xml:space="preserve">La exclusión del acceso directo no impide la atención en fisioterapia de AP. Por ejemplo, una persona en fase postquirúrgica puede llegar a AP por el circuito 5, tras la rehabilitación hospitalaria.</w:t>
      </w:r>
    </w:p>
    <w:p>
      <w:pPr>
        <w:pStyle w:val="Heading2"/>
      </w:pPr>
      <w:r>
        <w:rPr>
          <w:rFonts w:ascii="Calibri" w:cs="Calibri" w:eastAsia="Calibri" w:hAnsi="Calibri"/>
        </w:rPr>
        <w:t xml:space="preserve">8.4. Herramientas de cribado</w:t>
      </w:r>
    </w:p>
    <w:p>
      <w:pPr>
        <w:spacing w:after="140"/>
        <w:jc w:val="both"/>
      </w:pPr>
      <w:r>
        <w:rPr>
          <w:rFonts w:ascii="Calibri" w:cs="Calibri" w:eastAsia="Calibri" w:hAnsi="Calibri"/>
        </w:rPr>
        <w:t xml:space="preserve">El fisioterapeuta usa herramientas con evidencia publicada:</w:t>
      </w:r>
    </w:p>
    <w:p>
      <w:pPr>
        <w:pStyle w:val="ListParagraph"/>
        <w:numPr>
          <w:ilvl w:val="0"/>
          <w:numId w:val="3"/>
        </w:numPr>
        <w:spacing w:after="60"/>
      </w:pPr>
      <w:r>
        <w:rPr>
          <w:rFonts w:ascii="Calibri" w:cs="Calibri" w:eastAsia="Calibri" w:hAnsi="Calibri"/>
          <w:b/>
          <w:bCs/>
          <w:color w:val="00768E"/>
        </w:rPr>
        <w:t xml:space="preserve">Reglas de Ottawa de tobillo y pie.</w:t>
      </w:r>
      <w:r>
        <w:rPr>
          <w:rFonts w:ascii="Calibri" w:cs="Calibri" w:eastAsia="Calibri" w:hAnsi="Calibri"/>
        </w:rPr>
        <w:t xml:space="preserve"> Una revisión sistemática con 15.581 pacientes mostró una sensibilidad cercana al 100 % para excluir fracturas [143]. Su implantación redujo las radiografías de tobillo sin fracturas no detectadas [145].</w:t>
      </w:r>
    </w:p>
    <w:p>
      <w:pPr>
        <w:pStyle w:val="ListParagraph"/>
        <w:numPr>
          <w:ilvl w:val="0"/>
          <w:numId w:val="3"/>
        </w:numPr>
        <w:spacing w:after="60"/>
      </w:pPr>
      <w:r>
        <w:rPr>
          <w:rFonts w:ascii="Calibri" w:cs="Calibri" w:eastAsia="Calibri" w:hAnsi="Calibri"/>
          <w:b/>
          <w:bCs/>
          <w:color w:val="00768E"/>
        </w:rPr>
        <w:t xml:space="preserve">Signos de alarma en el dolor lumbar.</w:t>
      </w:r>
      <w:r>
        <w:rPr>
          <w:rFonts w:ascii="Calibri" w:cs="Calibri" w:eastAsia="Calibri" w:hAnsi="Calibri"/>
        </w:rPr>
        <w:t xml:space="preserve"> Una revisión sistemática mostró que solo un subconjunto de los signos de alarma que recogen las guías tiene precisión diagnóstica demostrada [147]. El protocolo debe priorizar ese subconjunto, como la historia de cáncer para la sospecha de malignidad [147].</w:t>
      </w:r>
    </w:p>
    <w:p>
      <w:pPr>
        <w:pStyle w:val="ListParagraph"/>
        <w:numPr>
          <w:ilvl w:val="0"/>
          <w:numId w:val="3"/>
        </w:numPr>
        <w:spacing w:after="60"/>
      </w:pPr>
      <w:r>
        <w:rPr>
          <w:rFonts w:ascii="Calibri" w:cs="Calibri" w:eastAsia="Calibri" w:hAnsi="Calibri"/>
          <w:b/>
          <w:bCs/>
          <w:color w:val="00768E"/>
        </w:rPr>
        <w:t xml:space="preserve">Estratificación del riesgo en el dolor lumbar.</w:t>
      </w:r>
      <w:r>
        <w:rPr>
          <w:rFonts w:ascii="Calibri" w:cs="Calibri" w:eastAsia="Calibri" w:hAnsi="Calibri"/>
        </w:rPr>
        <w:t xml:space="preserve"> La herramienta STarT Back permite ajustar la intensidad de la atención al pronóstico, con mejores resultados y menos costes que la práctica habitual [153]. Existe una versión española adaptada en atención primaria [154].</w:t>
      </w:r>
    </w:p>
    <w:p>
      <w:pPr>
        <w:pStyle w:val="ListParagraph"/>
        <w:numPr>
          <w:ilvl w:val="0"/>
          <w:numId w:val="3"/>
        </w:numPr>
        <w:spacing w:after="60"/>
      </w:pPr>
      <w:r>
        <w:rPr>
          <w:rFonts w:ascii="Calibri" w:cs="Calibri" w:eastAsia="Calibri" w:hAnsi="Calibri"/>
          <w:b/>
          <w:bCs/>
          <w:color w:val="00768E"/>
        </w:rPr>
        <w:t xml:space="preserve">Función en la epicondilalgia.</w:t>
      </w:r>
      <w:r>
        <w:rPr>
          <w:rFonts w:ascii="Calibri" w:cs="Calibri" w:eastAsia="Calibri" w:hAnsi="Calibri"/>
        </w:rPr>
        <w:t xml:space="preserve"> La instrucción madrileña pide el cuestionario PRTEE para medir el dolor y la función del codo [9]. Su versión española se validó con 150 pacientes [155]. Mostró una consistencia interna con un alfa de Cronbach de 0,96 y una fiabilidad con un coeficiente de correlación intraclase de 0,9 [155].</w:t>
      </w:r>
    </w:p>
    <w:p>
      <w:pPr>
        <w:pStyle w:val="ListParagraph"/>
        <w:numPr>
          <w:ilvl w:val="0"/>
          <w:numId w:val="3"/>
        </w:numPr>
        <w:spacing w:after="60"/>
      </w:pPr>
      <w:r>
        <w:rPr>
          <w:rFonts w:ascii="Calibri" w:cs="Calibri" w:eastAsia="Calibri" w:hAnsi="Calibri"/>
          <w:b/>
          <w:bCs/>
          <w:color w:val="00768E"/>
        </w:rPr>
        <w:t xml:space="preserve">Momento de la exploración en el esguince de tobillo.</w:t>
      </w:r>
      <w:r>
        <w:rPr>
          <w:rFonts w:ascii="Calibri" w:cs="Calibri" w:eastAsia="Calibri" w:hAnsi="Calibri"/>
        </w:rPr>
        <w:t xml:space="preserve"> La guía neerlandesa actualizada recomienda una exploración física diferida, entre cuatro y cinco días después del traumatismo [156]. El protocolo puede usar esa pauta para programar la primera consulta.</w:t>
      </w:r>
    </w:p>
    <w:p>
      <w:pPr>
        <w:pStyle w:val="ListParagraph"/>
        <w:numPr>
          <w:ilvl w:val="0"/>
          <w:numId w:val="3"/>
        </w:numPr>
        <w:spacing w:after="60"/>
      </w:pPr>
      <w:r>
        <w:rPr>
          <w:rFonts w:ascii="Calibri" w:cs="Calibri" w:eastAsia="Calibri" w:hAnsi="Calibri"/>
          <w:b/>
          <w:bCs/>
          <w:color w:val="00768E"/>
        </w:rPr>
        <w:t xml:space="preserve">Pruebas de provocación en la epicondilalgia.</w:t>
      </w:r>
      <w:r>
        <w:rPr>
          <w:rFonts w:ascii="Calibri" w:cs="Calibri" w:eastAsia="Calibri" w:hAnsi="Calibri"/>
        </w:rPr>
        <w:t xml:space="preserve"> La instrucción madrileña describe las pruebas de Cozen, de Thomson y de la silla [9]. Este documento no ha localizado estudios de precisión diagnóstica de esas pruebas, de modo que las presenta como parte de la exploración y no como reglas de decisión.</w:t>
      </w:r>
    </w:p>
    <w:p>
      <w:pPr>
        <w:spacing w:after="140"/>
        <w:jc w:val="both"/>
      </w:pPr>
      <w:r>
        <w:rPr>
          <w:rFonts w:ascii="Calibri" w:cs="Calibri" w:eastAsia="Calibri" w:hAnsi="Calibri"/>
        </w:rPr>
        <w:t xml:space="preserve">La escala visual analógica o la escala numérica del dolor completan la valoración en todos los procesos, como pide la instrucción madrileña [9]. El indicador IR-1 del anexo B usa la escala numérica de 0 a 10.</w:t>
      </w:r>
    </w:p>
    <w:p>
      <w:pPr>
        <w:pStyle w:val="Heading2"/>
      </w:pPr>
      <w:r>
        <w:rPr>
          <w:rFonts w:ascii="Calibri" w:cs="Calibri" w:eastAsia="Calibri" w:hAnsi="Calibri"/>
        </w:rPr>
        <w:t xml:space="preserve">8.5. Evidencia de efectividad en los procesos de acceso directo</w:t>
      </w:r>
    </w:p>
    <w:p>
      <w:pPr>
        <w:spacing w:after="140"/>
        <w:jc w:val="both"/>
      </w:pPr>
      <w:r>
        <w:rPr>
          <w:rFonts w:ascii="Calibri" w:cs="Calibri" w:eastAsia="Calibri" w:hAnsi="Calibri"/>
        </w:rPr>
        <w:t xml:space="preserve">La tabla 8.3 resume la evidencia que sostiene la inclusión de cada proceso en el acceso directo. La columna de identificador remite a la matriz del anexo C. La tabla cita revisiones sistemáticas, guías y ensayos verificados en PubMed.</w:t>
      </w:r>
    </w:p>
    <w:p>
      <w:pPr>
        <w:keepNext/>
        <w:spacing w:after="80" w:before="200"/>
      </w:pPr>
      <w:r>
        <w:rPr>
          <w:rFonts w:ascii="Calibri" w:cs="Calibri" w:eastAsia="Calibri" w:hAnsi="Calibri"/>
          <w:b/>
          <w:bCs/>
          <w:color w:val="0096B1"/>
          <w:sz w:val="19"/>
          <w:szCs w:val="19"/>
        </w:rPr>
        <w:t xml:space="preserve">Tabla 8.3. Evidencia de efectividad de la fisioterapia en los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60"/>
        <w:gridCol w:w="3079"/>
        <w:gridCol w:w="34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17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0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Evidencia principal</w:t>
            </w:r>
          </w:p>
        </w:tc>
        <w:tc>
          <w:tcPr>
            <w:tcW w:type="dxa" w:w="34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Lectura para el modelo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lumbar y cervical mecánico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guías recomiendan como primera línea la educación para el automanejo, la vuelta a la actividad y el ejercicio [148]. El ejercicio reduce el dolor lumbar persistente con certeza moderada [128]. En el dolor cervical, las guías proponen educación estructurada con ejercicio o atención multimodal [149, 157]</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consulta de primer contacto aplica la primera línea sin esperar a una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sin traumatismo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supera a los controles sin ejercicio en el síndrome subacromial [150]. La descompresión quirúrgica no supera al ejercicio en ensayos con seguimientos de uno a diez años [158-161]. En las roturas no traumáticas del supraespinoso, la cirugía no mejora el resultado de la fisioterapia al año [162]</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es la primera opción, y la derivación quirúrgica se reserva para el fracaso del tratamiento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de rodilla, cadera o mano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reduce el dolor en la artrosis de rodilla con certeza alta a corto plazo [126]</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PG-03 aplica esta evidencia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guía neerlandesa recomienda programas de ejercicio supervisado frente a las modalidades pasivas, y reserva la cirugía para el fracaso del tratamiento con ejercicio [156]</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combina las reglas de Ottawa con el plan de ejercicio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Una guía basada en una revisión de 51 ensayos propone como tratamiento nuclear el vendaje, los estiramientos y la educación individualizada, con ondas de choque y ortesis a medida como pasos posteriores [163]. La guía de la asociación estadounidense de fisioterapia actualizó sus recomendaciones en 2023 [164]</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aplica el tratamiento nuclear y reserva los pasos posteriores para quien no mejora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fisioterapia con movilización y ejercicio supera a la infiltración de corticoide después de la sexta semana, y a la espera en las primeras seis semanas [152]</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infiltración ofrece alivio precoz con alta tasa de recaída, de modo que la fisioterapia es la opción de medio plazo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dolor lumbar recurre con frecuencia en los seguimientos de largo plazo [17, 19]</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autorreferencia evita una nueva consulta médica para un diagnóstico ya registrado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educación en neurociencia del dolor combinada con ejercicio grupal mejora el dolor y la función en AP española [125]. La educación aislada no mejora el dolor frente a la atención habitual [130]</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PG-02 combina educación y ejercicio</w:t>
            </w:r>
          </w:p>
        </w:tc>
      </w:tr>
    </w:tbl>
    <w:p>
      <w:pPr>
        <w:spacing w:after="200" w:before="60"/>
      </w:pPr>
      <w:r>
        <w:rPr>
          <w:rFonts w:ascii="Calibri" w:cs="Calibri" w:eastAsia="Calibri" w:hAnsi="Calibri"/>
          <w:i/>
          <w:iCs/>
          <w:color w:val="8C8C8C"/>
          <w:sz w:val="17"/>
          <w:szCs w:val="17"/>
        </w:rPr>
        <w:t xml:space="preserve">Fuente: elaboración propia a partir de los estudios citados en cada fila, verificados en PubMed. Los nombres de los procesos se abrevian; el anexo C recoge el nombre completo.</w:t>
      </w:r>
    </w:p>
    <w:p>
      <w:pPr>
        <w:spacing w:after="140"/>
        <w:jc w:val="both"/>
      </w:pPr>
      <w:r>
        <w:rPr>
          <w:rFonts w:ascii="Calibri" w:cs="Calibri" w:eastAsia="Calibri" w:hAnsi="Calibri"/>
        </w:rPr>
        <w:t xml:space="preserve">En el hombro, este documento se apoya en los ensayos que comparan directamente ejercicio y cirugía, y en una revisión Cochrane que no respalda la descompresión subacromial [151]. La evidencia económica es menos favorable en las roturas masivas del manguito. En ellas, un análisis de coste-efectividad situó como opción preferente la prótesis invertida, y la fisioterapia solo lo fue en un análisis de sensibilidad [165].</w:t>
      </w:r>
    </w:p>
    <w:p>
      <w:pPr>
        <w:pStyle w:val="Heading1"/>
        <w:pageBreakBefore/>
      </w:pPr>
      <w:r>
        <w:rPr>
          <w:rFonts w:ascii="Calibri" w:cs="Calibri" w:eastAsia="Calibri" w:hAnsi="Calibri"/>
        </w:rPr>
        <w:t xml:space="preserve">9. Dotación calculada por demanda, por fases y con ajuste territorial</w:t>
      </w:r>
    </w:p>
    <w:p>
      <w:pPr>
        <w:spacing w:after="140"/>
        <w:jc w:val="both"/>
      </w:pPr>
      <w:r>
        <w:rPr>
          <w:rFonts w:ascii="Calibri" w:cs="Calibri" w:eastAsia="Calibri" w:hAnsi="Calibri"/>
        </w:rPr>
        <w:t xml:space="preserve">Esta sección calcula cuántos fisioterapeutas de AP necesita el SNS a partir de la demanda que atienden. Las ratios no se fijan de antemano: salen de un modelo con parámetros explícitos, cada uno con su fuente o con su rango de supuesto. El resultado se presenta como un intervalo y como una secuencia de fases con horizonte temporal.</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de densidad cuentan fisioterapeutas de todo el sistema, no de atención primaria, y no sirven para fijar una ratio de AP. El modelo de esta sección combina datos publicados con supuestos declarados. El resultado central depende sobre todo de pocos parámetros, que la tabla 9.3 identifica. Cada servicio de salud debe sustituir los supuestos por sus propios datos cuando disponga de ellos.</w:t>
      </w:r>
    </w:p>
    <w:p>
      <w:pPr>
        <w:pStyle w:val="Heading2"/>
      </w:pPr>
      <w:r>
        <w:rPr>
          <w:rFonts w:ascii="Calibri" w:cs="Calibri" w:eastAsia="Calibri" w:hAnsi="Calibri"/>
        </w:rPr>
        <w:t xml:space="preserve">9.1. Punto de partida</w:t>
      </w:r>
    </w:p>
    <w:p>
      <w:pPr>
        <w:spacing w:after="140"/>
        <w:jc w:val="both"/>
      </w:pPr>
      <w:r>
        <w:rPr>
          <w:rFonts w:ascii="Calibri" w:cs="Calibri" w:eastAsia="Calibri" w:hAnsi="Calibri"/>
        </w:rPr>
        <w:t xml:space="preserve">El SNS contaba en 2024 con 2.418 fisioterapeutas de AP, según el informe monográfico de recursos humanos [56]. La dotación por comunidad autónoma variaba más de diez veces entre los extremos que recogió el editorial de 2022 (tabla 3.1). El punto de partida no es, por tanto, un valor único, sino una distribución muy desigual.</w:t>
      </w:r>
    </w:p>
    <w:p>
      <w:pPr>
        <w:spacing w:after="140"/>
        <w:jc w:val="both"/>
      </w:pPr>
      <w:r>
        <w:rPr>
          <w:rFonts w:ascii="Calibri" w:cs="Calibri" w:eastAsia="Calibri" w:hAnsi="Calibri"/>
        </w:rPr>
        <w:t xml:space="preserve">Los datos autonómicos de actividad pueden afinar ese punto de partida. La Comunidad de Madrid informó de que sus unidades de fisioterapia de AP atendieron a cerca de 159.000 personas en 2024 [39]. A 30 de abril de 2024, las plantillas orgánicas del Servicio Madrileño de Salud tenían 947 plazas de fisioterapeuta [166]. De ellas, 691 estaban en atención hospitalaria y 256 en AP [166]. El informe de PwC para el colegio profesional madrileño estimó unos 218 fisioterapeutas en la AP de Madrid en 2021, a partir de una encuesta a las personas colegiadas [167]. En 2025, más de 50 fisioterapeutas de AP completaron una formación de la Gerencia Asistencial en dolor musculoesquelético [142]. Según la Gerencia, suponían alrededor del 20 % de los que están en activo en AP [142]. El SIAP permite sustituir estas estimaciones por la plantilla oficial de cada comunidad autónoma [60].</w:t>
      </w:r>
    </w:p>
    <w:p>
      <w:pPr>
        <w:pStyle w:val="Heading2"/>
      </w:pPr>
      <w:r>
        <w:rPr>
          <w:rFonts w:ascii="Calibri" w:cs="Calibri" w:eastAsia="Calibri" w:hAnsi="Calibri"/>
        </w:rPr>
        <w:t xml:space="preserve">9.2. Modelo de demanda</w:t>
      </w:r>
    </w:p>
    <w:p>
      <w:pPr>
        <w:spacing w:after="140"/>
        <w:jc w:val="both"/>
      </w:pPr>
      <w:r>
        <w:rPr>
          <w:rFonts w:ascii="Calibri" w:cs="Calibri" w:eastAsia="Calibri" w:hAnsi="Calibri"/>
        </w:rPr>
        <w:t xml:space="preserve">El modelo estima la carga anual de trabajo de fisioterapia por cada 10.000 habitantes. La carga tiene tres componentes:</w:t>
      </w:r>
    </w:p>
    <w:p>
      <w:pPr>
        <w:pStyle w:val="ListParagraph"/>
        <w:numPr>
          <w:ilvl w:val="0"/>
          <w:numId w:val="3"/>
        </w:numPr>
        <w:spacing w:after="60"/>
      </w:pPr>
      <w:r>
        <w:rPr>
          <w:rFonts w:ascii="Calibri" w:cs="Calibri" w:eastAsia="Calibri" w:hAnsi="Calibri"/>
          <w:b/>
          <w:bCs/>
          <w:color w:val="00768E"/>
        </w:rPr>
        <w:t xml:space="preserve">Consulta individual.</w:t>
      </w:r>
      <w:r>
        <w:rPr>
          <w:rFonts w:ascii="Calibri" w:cs="Calibri" w:eastAsia="Calibri" w:hAnsi="Calibri"/>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w:pPr>
        <w:pStyle w:val="ListParagraph"/>
        <w:numPr>
          <w:ilvl w:val="0"/>
          <w:numId w:val="3"/>
        </w:numPr>
        <w:spacing w:after="60"/>
      </w:pPr>
      <w:r>
        <w:rPr>
          <w:rFonts w:ascii="Calibri" w:cs="Calibri" w:eastAsia="Calibri" w:hAnsi="Calibri"/>
          <w:b/>
          <w:bCs/>
          <w:color w:val="00768E"/>
        </w:rPr>
        <w:t xml:space="preserve">Programas grupales y comunitarios.</w:t>
      </w:r>
      <w:r>
        <w:rPr>
          <w:rFonts w:ascii="Calibri" w:cs="Calibri" w:eastAsia="Calibri" w:hAnsi="Calibri"/>
        </w:rPr>
        <w:t xml:space="preserve"> Es la suma, para cada programa del anexo A, de las ediciones anuales por las horas de fisioterapia de cada edición. El programa de caídas y fragilidad crece en proporción a la población de 65 años o más.</w:t>
      </w:r>
    </w:p>
    <w:p>
      <w:pPr>
        <w:pStyle w:val="ListParagraph"/>
        <w:numPr>
          <w:ilvl w:val="0"/>
          <w:numId w:val="3"/>
        </w:numPr>
        <w:spacing w:after="60"/>
      </w:pPr>
      <w:r>
        <w:rPr>
          <w:rFonts w:ascii="Calibri" w:cs="Calibri" w:eastAsia="Calibri" w:hAnsi="Calibri"/>
          <w:b/>
          <w:bCs/>
          <w:color w:val="00768E"/>
        </w:rPr>
        <w:t xml:space="preserve">Atención domiciliaria.</w:t>
      </w:r>
      <w:r>
        <w:rPr>
          <w:rFonts w:ascii="Calibri" w:cs="Calibri" w:eastAsia="Calibri" w:hAnsi="Calibri"/>
        </w:rPr>
        <w:t xml:space="preserve"> Multiplica la población de 65 años o más (S65) por la fracción que necesita fisioterapia en el domicilio (D). El resultado se multiplica por las visitas por persona (Vd) y por las horas de cada visita (td).</w:t>
      </w:r>
    </w:p>
    <w:p>
      <w:pPr>
        <w:spacing w:after="140"/>
        <w:jc w:val="both"/>
      </w:pPr>
      <w:r>
        <w:rPr>
          <w:rFonts w:ascii="Calibri" w:cs="Calibri" w:eastAsia="Calibri" w:hAnsi="Calibri"/>
        </w:rPr>
        <w:t xml:space="preserve">La capacidad de un fisioterapeuta a tiempo completo es su jornada anual (J) menos la fracción de tiempo protegido (Tp). La dotación necesaria es la carga total dividida por esa capacidad. El resultado se expresa, por tanto, en equivalentes a tiempo completo (ETC). Una plantilla con jornadas parciales necesita más profesionales para cubrir la misma dotación.</w:t>
      </w:r>
    </w:p>
    <w:p>
      <w:pPr>
        <w:keepNext/>
        <w:spacing w:after="80" w:before="200"/>
      </w:pPr>
      <w:r>
        <w:rPr>
          <w:rFonts w:ascii="Calibri" w:cs="Calibri" w:eastAsia="Calibri" w:hAnsi="Calibri"/>
          <w:b/>
          <w:bCs/>
          <w:color w:val="0096B1"/>
          <w:sz w:val="19"/>
          <w:szCs w:val="19"/>
        </w:rPr>
        <w:t xml:space="preserve">Tabla 9.1. Parámetros del modelo de demanda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155"/>
        <w:gridCol w:w="955"/>
        <w:gridCol w:w="750"/>
        <w:gridCol w:w="750"/>
        <w:gridCol w:w="750"/>
        <w:gridCol w:w="750"/>
        <w:gridCol w:w="321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Símbolo</w:t>
            </w:r>
          </w:p>
        </w:tc>
        <w:tc>
          <w:tcPr>
            <w:tcW w:type="dxa" w:w="11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Parámetro</w:t>
            </w:r>
          </w:p>
        </w:tc>
        <w:tc>
          <w:tcPr>
            <w:tcW w:type="dxa" w:w="9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Unidad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Bajo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Central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321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Justificación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adultas que consultan en atención primaria por un problema musculoesquelético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por 10.000 habitantes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F1</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esas personas que accede a fisioterapia de atención primaria por cualquier vía</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El rango refleja un despliegue progresivo del acceso directo y de la derivación protocolizada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F2</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las personas valoradas que necesita tratamiento individual tras la primera consulta</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la evaluación de Downie y colaboradores, el 60,4 % de los contactos se resolvió solo con automanejo tras la primera consulta [37]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individuales de seguimiento por episodio tratado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sobre consultas por episodio en fisioterapia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consulta individual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Las consultas de primer contacto del Reino Unido duran veinte minutos en la encuesta de Halls y colaboradores. El valor central incorpora el tiempo de registro y de coordinación [168]</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S65</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población de 65 años o más</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 redondeado del padrón continuo. El rango refleja la variación entre zonas básicas y se sustituye por el dato local en los ajustes territoriales [169]</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personas de 65 años o más que necesita fisioterapia domiciliaria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prevalencia de fragilidad en población comunitaria europea es del 12 %. Solo una parte de esa población necesita atención en el domicilio [170]</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Vd</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 domiciliarias por persona y año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Se ajusta localmente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visita domiciliaria, con desplazamiento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El desplazamiento aumenta en zonas rurales y dispersas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Jornada anual de un fisioterapeuta a tiempo completo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1.600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1.519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Rango de la jornada ordinaria entre 35 y 37,5 horas semanales según el servicio de salud. El orden de bajo a alto sigue la necesidad: una jornada menor exige más dotación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 jornada reservada como tiempo protegido no asistencial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Diseño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Tiempo para programas comunitarios no clínicos, docencia, investigación y coordinación, que la sección 5.1 exige proteger</w:t>
            </w:r>
          </w:p>
        </w:tc>
      </w:tr>
    </w:tbl>
    <w:p>
      <w:pPr>
        <w:spacing w:after="200" w:before="60"/>
      </w:pPr>
      <w:r>
        <w:rPr>
          <w:rFonts w:ascii="Calibri" w:cs="Calibri" w:eastAsia="Calibri" w:hAnsi="Calibri"/>
          <w:i/>
          <w:iCs/>
          <w:color w:val="8C8C8C"/>
          <w:sz w:val="17"/>
          <w:szCs w:val="17"/>
        </w:rPr>
        <w:t xml:space="preserve">Fuente: elaboración propia. Los parámetros de tipo supuesto no tienen un dato español publicado y se acompañan de su rango y de su justificación.</w:t>
      </w:r>
    </w:p>
    <w:p>
      <w:pPr>
        <w:keepNext/>
        <w:spacing w:after="80" w:before="200"/>
      </w:pPr>
      <w:r>
        <w:rPr>
          <w:rFonts w:ascii="Calibri" w:cs="Calibri" w:eastAsia="Calibri" w:hAnsi="Calibri"/>
          <w:b/>
          <w:bCs/>
          <w:color w:val="0096B1"/>
          <w:sz w:val="19"/>
          <w:szCs w:val="19"/>
        </w:rPr>
        <w:t xml:space="preserve">Tabla 9.2. Resultado del modelo en los tres escenarios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2"/>
        <w:gridCol w:w="1181"/>
        <w:gridCol w:w="1385"/>
        <w:gridCol w:w="1232"/>
      </w:tblGrid>
      <w:tr>
        <w:trPr>
          <w:cantSplit/>
          <w:tblHeader/>
        </w:trPr>
        <w:tc>
          <w:tcPr>
            <w:tcW w:type="dxa" w:w="52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Componente, en horas anuales por 10.000 habitantes</w:t>
            </w:r>
          </w:p>
        </w:tc>
        <w:tc>
          <w:tcPr>
            <w:tcW w:type="dxa" w:w="11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bajo</w:t>
            </w:r>
          </w:p>
        </w:tc>
        <w:tc>
          <w:tcPr>
            <w:tcW w:type="dxa" w:w="13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central</w:t>
            </w:r>
          </w:p>
        </w:tc>
        <w:tc>
          <w:tcPr>
            <w:tcW w:type="dxa" w:w="1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alto</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235</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3.750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grupales y comunitarios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206</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351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domiciliaria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144</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450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Carga total</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585</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5.598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Capacidad asistencial por fisioterapeuta, en horas</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1.396</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1.139</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por 10.000 habitantes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0,42</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4,91</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Habitantes por fisioterapeuta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23.871</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2.035</w:t>
            </w:r>
          </w:p>
        </w:tc>
      </w:tr>
    </w:tbl>
    <w:p>
      <w:pPr>
        <w:spacing w:after="200" w:before="60"/>
      </w:pPr>
      <w:r>
        <w:rPr>
          <w:rFonts w:ascii="Calibri" w:cs="Calibri" w:eastAsia="Calibri" w:hAnsi="Calibri"/>
          <w:i/>
          <w:iCs/>
          <w:color w:val="8C8C8C"/>
          <w:sz w:val="17"/>
          <w:szCs w:val="17"/>
        </w:rPr>
        <w:t xml:space="preserve">Fuente: modelo de demanda de esta sección, ejecutado con los parámetros de la tabla 9.1 y las fichas del anexo A. El escenario bajo combina los valores bajos de necesidad con la mayor capacidad por profesional, y el escenario alto hace lo contrario.</w:t>
      </w:r>
    </w:p>
    <w:p>
      <w:pPr>
        <w:spacing w:after="140"/>
        <w:jc w:val="both"/>
      </w:pPr>
      <w:r>
        <w:rPr>
          <w:rFonts w:ascii="Calibri" w:cs="Calibri" w:eastAsia="Calibri" w:hAnsi="Calibri"/>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 Por eso el análisis de sensibilidad identifica los parámetros que más la explican.</w:t>
      </w:r>
    </w:p>
    <w:p>
      <w:pPr>
        <w:keepNext/>
        <w:spacing w:after="80" w:before="200"/>
      </w:pPr>
      <w:r>
        <w:rPr>
          <w:rFonts w:ascii="Calibri" w:cs="Calibri" w:eastAsia="Calibri" w:hAnsi="Calibri"/>
          <w:b/>
          <w:bCs/>
          <w:color w:val="0096B1"/>
          <w:sz w:val="19"/>
          <w:szCs w:val="19"/>
        </w:rPr>
        <w:t xml:space="preserve">Tabla 9.3. Análisis de sensibilidad univariante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6"/>
        <w:gridCol w:w="1897"/>
        <w:gridCol w:w="1897"/>
        <w:gridCol w:w="750"/>
      </w:tblGrid>
      <w:tr>
        <w:trPr>
          <w:cantSplit/>
          <w:tblHeader/>
        </w:trPr>
        <w:tc>
          <w:tcPr>
            <w:tcW w:type="dxa" w:w="45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bajo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Amplitud</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 Duración media de cada consulta individual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9.131</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5.909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3.222</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F1. Fracción de esas personas que accede a fisioterapia de atención primaria por cualquier vía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8.820</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2.728</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 Personas adultas que consultan en atención primaria por un problema musculoesquelético al año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8.627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6.602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2.025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 Proporción de personas de 65 años o más que necesita fisioterapia domiciliaria al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6.364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1.834</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 Consultas individuales de seguimiento por episodio tratado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1.718</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Vd. Visitas domiciliarias por persona y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6.877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1.321</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PG. Ediciones de programas grupales y comunitarios (anexo A)</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1.307</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F2. Fracción de las personas valoradas que necesita tratamiento individual tras la primera consulta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6.914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1.232</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Tp. Fracción de la jornada reservada como tiempo protegido no asistencial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7.947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935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td. Duración media de cada visita domiciliaria, con desplazamiento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7.895</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 Jornada anual de un fisioterapeuta a tiempo completo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7.676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575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S65. Proporción de población de 65 años o más</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7.734</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7.242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492</w:t>
            </w:r>
          </w:p>
        </w:tc>
      </w:tr>
    </w:tbl>
    <w:p>
      <w:pPr>
        <w:spacing w:after="200" w:before="60"/>
      </w:pPr>
      <w:r>
        <w:rPr>
          <w:rFonts w:ascii="Calibri" w:cs="Calibri" w:eastAsia="Calibri" w:hAnsi="Calibri"/>
          <w:i/>
          <w:iCs/>
          <w:color w:val="8C8C8C"/>
          <w:sz w:val="17"/>
          <w:szCs w:val="17"/>
        </w:rPr>
        <w:t xml:space="preserve">Fuente: modelo de demanda de esta sección. Cada fila cambia un parámetro a su valor bajo o alto y mantiene el resto en el valor central. Las filas se ordenan de mayor a menor amplitud.</w:t>
      </w:r>
    </w:p>
    <w:p>
      <w:pPr>
        <w:spacing w:after="140"/>
        <w:jc w:val="both"/>
      </w:pPr>
      <w:r>
        <w:rPr>
          <w:rFonts w:ascii="Calibri" w:cs="Calibri" w:eastAsia="Calibri" w:hAnsi="Calibri"/>
        </w:rPr>
        <w:t xml:space="preserve">Los tres parámetros con más influencia son la duración de cada consulta, la fracción que accede a fisioterapia y las personas que consultan por un problema musculoesquelético (tabla 9.3). Ninguno de los tres tiene hoy un dato español publicado. Por eso la primera tarea del grupo de trabajo debe ser medirlos con los registros de actividad de las comunidades que ya tienen consulta de fisioterapia en AP. La instrucción madrileña facilita esa medición, porque asocia cada proceso de citación directa a sus códigos de la Clasificación Internacional de Atención Primaria [9]. Con esos códigos, un servicio de salud puede contar las personas que consultan por cada proceso y la fracción que llega a fisioterapia.</w:t>
      </w:r>
    </w:p>
    <w:p>
      <w:pPr>
        <w:spacing w:after="140"/>
        <w:jc w:val="both"/>
      </w:pPr>
      <w:r>
        <w:rPr>
          <w:rFonts w:ascii="Calibri" w:cs="Calibri" w:eastAsia="Calibri" w:hAnsi="Calibri"/>
        </w:rPr>
        <w:t xml:space="preserve">El número de consultas por persona tampoco tiene un valor fijo. Una revisión de ocho ensayos no encontró diferencias al año entre dos o menos visitas y tres o más en el dolor lumbar [117]. El modelo refleja esa incertidumbre con el rango del parámetro de consultas de seguimiento.</w:t>
      </w:r>
    </w:p>
    <w:p>
      <w:pPr>
        <w:pStyle w:val="Heading2"/>
      </w:pPr>
      <w:r>
        <w:rPr>
          <w:rFonts w:ascii="Calibri" w:cs="Calibri" w:eastAsia="Calibri" w:hAnsi="Calibri"/>
        </w:rPr>
        <w:t xml:space="preserve">9.3. Escenarios como fases</w:t>
      </w:r>
    </w:p>
    <w:p>
      <w:pPr>
        <w:spacing w:after="140"/>
        <w:jc w:val="both"/>
      </w:pPr>
      <w:r>
        <w:rPr>
          <w:rFonts w:ascii="Calibri" w:cs="Calibri" w:eastAsia="Calibri" w:hAnsi="Calibri"/>
        </w:rPr>
        <w:t xml:space="preserve">Los tres escenarios del modelo se transforman en fases con un horizonte temporal. Las cifras de cada fase salen del modelo y no se fijan de antemano. Son referencias de planificación en ETC y no umbrales derivados de ensayos clínicos. Cada servicio de salud las ajusta con sus propios datos, como muestra la sección 9.4.</w:t>
      </w:r>
    </w:p>
    <w:p>
      <w:pPr>
        <w:keepNext/>
        <w:spacing w:after="80" w:before="200"/>
      </w:pPr>
      <w:r>
        <w:rPr>
          <w:rFonts w:ascii="Calibri" w:cs="Calibri" w:eastAsia="Calibri" w:hAnsi="Calibri"/>
          <w:b/>
          <w:bCs/>
          <w:color w:val="0096B1"/>
          <w:sz w:val="19"/>
          <w:szCs w:val="19"/>
        </w:rPr>
        <w:t xml:space="preserve">Tabla 9.4. Fases de dotación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1384"/>
        <w:gridCol w:w="3270"/>
        <w:gridCol w:w="3269"/>
      </w:tblGrid>
      <w:tr>
        <w:trPr>
          <w:cantSplit/>
          <w:tblHeader/>
        </w:trPr>
        <w:tc>
          <w:tcPr>
            <w:tcW w:type="dxa" w:w="11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38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32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Objetivo de dotación</w:t>
            </w:r>
          </w:p>
        </w:tc>
        <w:tc>
          <w:tcPr>
            <w:tcW w:type="dxa" w:w="3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 asistencial</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1. Implantación</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del escenario bajo: 1 fisioterapeuta por cada 23.900 habitantes</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propia en todas las zonas básicas, derivación desde medicina de familia y enfermería, y programas de caídas y de espalda</w:t>
            </w:r>
          </w:p>
        </w:tc>
      </w:tr>
      <w:tr>
        <w:trPr>
          <w:cantSplit/>
          <w:tblHeader w:val="false"/>
        </w:trPr>
        <w:tc>
          <w:tcPr>
            <w:tcW w:type="dxa" w:w="11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2. Consolidación</w:t>
            </w:r>
          </w:p>
        </w:tc>
        <w:tc>
          <w:tcPr>
            <w:tcW w:type="dxa" w:w="138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32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Escenario central: 1 fisioterapeuta por cada 7.500 habitantes</w:t>
            </w:r>
          </w:p>
        </w:tc>
        <w:tc>
          <w:tcPr>
            <w:tcW w:type="dxa" w:w="3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protocolizado, todos los programas del anexo A y atención domiciliaria</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3. Necesidad especial</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 en paralelo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territorial con el modelo: hasta 1 fisioterapeuta por cada 4.400 habitantes en zonas rurales, envejecidas y con alta dependencia</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Refuerzo de la atención domiciliaria y de los programas de fragilidad</w:t>
            </w:r>
          </w:p>
        </w:tc>
      </w:tr>
    </w:tbl>
    <w:p>
      <w:pPr>
        <w:spacing w:after="200" w:before="60"/>
      </w:pPr>
      <w:r>
        <w:rPr>
          <w:rFonts w:ascii="Calibri" w:cs="Calibri" w:eastAsia="Calibri" w:hAnsi="Calibri"/>
          <w:i/>
          <w:iCs/>
          <w:color w:val="8C8C8C"/>
          <w:sz w:val="17"/>
          <w:szCs w:val="17"/>
        </w:rPr>
        <w:t xml:space="preserve">Fuente: elaboración propia a partir de las tablas 9.2 y 9.5. Los horizontes son una propuesta de calendario. Las cifras de dotación se redondean a la centena.</w:t>
      </w:r>
    </w:p>
    <w:p>
      <w:pPr>
        <w:spacing w:after="140"/>
        <w:jc w:val="both"/>
      </w:pPr>
      <w:r>
        <w:rPr>
          <w:rFonts w:ascii="Calibri" w:cs="Calibri" w:eastAsia="Calibri" w:hAnsi="Calibri"/>
        </w:rPr>
        <w:t xml:space="preserve">El mínimo de la fase 1 se aplica a cada comunidad autónoma por separado y no es una media nacional. De este modo, la propuesta se apoya en un cálculo y no solo en la comparación con otros sistemas.</w:t>
      </w:r>
    </w:p>
    <w:p>
      <w:pPr>
        <w:pStyle w:val="Heading2"/>
      </w:pPr>
      <w:r>
        <w:rPr>
          <w:rFonts w:ascii="Calibri" w:cs="Calibri" w:eastAsia="Calibri" w:hAnsi="Calibri"/>
        </w:rPr>
        <w:t xml:space="preserve">9.4. Ajustes territoriales</w:t>
      </w:r>
    </w:p>
    <w:p>
      <w:pPr>
        <w:spacing w:after="140"/>
        <w:jc w:val="both"/>
      </w:pPr>
      <w:r>
        <w:rPr>
          <w:rFonts w:ascii="Calibri" w:cs="Calibri" w:eastAsia="Calibri" w:hAnsi="Calibri"/>
        </w:rPr>
        <w:t xml:space="preserve">El modelo se aplica a cada zona básica con sus propios datos. La tabla 9.5 muestra el efecto de cambiar solo los factores que admite esta sección.</w:t>
      </w:r>
    </w:p>
    <w:p>
      <w:pPr>
        <w:keepNext/>
        <w:spacing w:after="80" w:before="200"/>
      </w:pPr>
      <w:r>
        <w:rPr>
          <w:rFonts w:ascii="Calibri" w:cs="Calibri" w:eastAsia="Calibri" w:hAnsi="Calibri"/>
          <w:b/>
          <w:bCs/>
          <w:color w:val="0096B1"/>
          <w:sz w:val="19"/>
          <w:szCs w:val="19"/>
        </w:rPr>
        <w:t xml:space="preserve">Tabla 9.5. Ejemplos de ajuste territorial con 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2"/>
        <w:gridCol w:w="3871"/>
        <w:gridCol w:w="1269"/>
        <w:gridCol w:w="1058"/>
      </w:tblGrid>
      <w:tr>
        <w:trPr>
          <w:cantSplit/>
          <w:tblHeader/>
        </w:trPr>
        <w:tc>
          <w:tcPr>
            <w:tcW w:type="dxa" w:w="28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Tipo de zona</w:t>
            </w:r>
          </w:p>
        </w:tc>
        <w:tc>
          <w:tcPr>
            <w:tcW w:type="dxa" w:w="38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Parámetros modificados sobre el escenario central</w:t>
            </w:r>
          </w:p>
        </w:tc>
        <w:tc>
          <w:tcPr>
            <w:tcW w:type="dxa" w:w="1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Fisioterapeutas por 10.000 habitantes</w:t>
            </w:r>
          </w:p>
        </w:tc>
        <w:tc>
          <w:tcPr>
            <w:tcW w:type="dxa" w:w="10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de referencia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1,56</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6.425</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visita domiciliaria de 1,75 horas con desplazamiento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6.768</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1,77</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5.658</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 con alta dependencia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 necesidad domiciliaria del 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2,26</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4.426</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con alta carga de incapacidad temporal musculoesquelética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2.400 personas con consulta musculoesquelética por 10.000 habitantes</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6.761</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 docente o con programas comunitarios extensos</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tiempo protegido del 25 %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1,43</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r>
    </w:tbl>
    <w:p>
      <w:pPr>
        <w:spacing w:after="200" w:before="60"/>
      </w:pPr>
      <w:r>
        <w:rPr>
          <w:rFonts w:ascii="Calibri" w:cs="Calibri" w:eastAsia="Calibri" w:hAnsi="Calibri"/>
          <w:i/>
          <w:iCs/>
          <w:color w:val="8C8C8C"/>
          <w:sz w:val="17"/>
          <w:szCs w:val="17"/>
        </w:rPr>
        <w:t xml:space="preserve">Fuente: modelo de demanda de esta sección. Los valores modificados son ilustrativos y cada servicio de salud los sustituye por los datos de la zona.</w:t>
      </w:r>
    </w:p>
    <w:p>
      <w:pPr>
        <w:spacing w:after="140"/>
        <w:jc w:val="both"/>
      </w:pPr>
      <w:r>
        <w:rPr>
          <w:rFonts w:ascii="Calibri" w:cs="Calibri" w:eastAsia="Calibri" w:hAnsi="Calibri"/>
        </w:rPr>
        <w:t xml:space="preserve">El documento admite cuatro factores de ajuste:</w:t>
      </w:r>
    </w:p>
    <w:p>
      <w:pPr>
        <w:pStyle w:val="ListParagraph"/>
        <w:numPr>
          <w:ilvl w:val="0"/>
          <w:numId w:val="3"/>
        </w:numPr>
        <w:spacing w:after="60"/>
      </w:pPr>
      <w:r>
        <w:rPr>
          <w:rFonts w:ascii="Calibri" w:cs="Calibri" w:eastAsia="Calibri" w:hAnsi="Calibri"/>
          <w:b/>
          <w:bCs/>
          <w:color w:val="00768E"/>
        </w:rPr>
        <w:t xml:space="preserve">Ruralidad y dispersión.</w:t>
      </w:r>
      <w:r>
        <w:rPr>
          <w:rFonts w:ascii="Calibri" w:cs="Calibri" w:eastAsia="Calibri" w:hAnsi="Calibri"/>
        </w:rPr>
        <w:t xml:space="preserve"> Alargan el tiempo de cada visita domiciliaria. La respuesta puede combinar tres palancas: el refuerzo de la plantilla, un fisioterapeuta itinerante de área y las herramientas de salud digital de la sección 5.6.</w:t>
      </w:r>
    </w:p>
    <w:p>
      <w:pPr>
        <w:pStyle w:val="ListParagraph"/>
        <w:numPr>
          <w:ilvl w:val="0"/>
          <w:numId w:val="3"/>
        </w:numPr>
        <w:spacing w:after="60"/>
      </w:pPr>
      <w:r>
        <w:rPr>
          <w:rFonts w:ascii="Calibri" w:cs="Calibri" w:eastAsia="Calibri" w:hAnsi="Calibri"/>
          <w:b/>
          <w:bCs/>
          <w:color w:val="00768E"/>
        </w:rPr>
        <w:t xml:space="preserve">Envejecimiento y dependencia.</w:t>
      </w:r>
      <w:r>
        <w:rPr>
          <w:rFonts w:ascii="Calibri" w:cs="Calibri" w:eastAsia="Calibri" w:hAnsi="Calibri"/>
        </w:rPr>
        <w:t xml:space="preserve"> Aumentan la atención domiciliaria y la oferta del programa de caídas y fragilidad.</w:t>
      </w:r>
    </w:p>
    <w:p>
      <w:pPr>
        <w:pStyle w:val="ListParagraph"/>
        <w:numPr>
          <w:ilvl w:val="0"/>
          <w:numId w:val="3"/>
        </w:numPr>
        <w:spacing w:after="60"/>
      </w:pPr>
      <w:r>
        <w:rPr>
          <w:rFonts w:ascii="Calibri" w:cs="Calibri" w:eastAsia="Calibri" w:hAnsi="Calibri"/>
          <w:b/>
          <w:bCs/>
          <w:color w:val="00768E"/>
        </w:rPr>
        <w:t xml:space="preserve">Carga de incapacidad temporal musculoesquelética.</w:t>
      </w:r>
      <w:r>
        <w:rPr>
          <w:rFonts w:ascii="Calibri" w:cs="Calibri" w:eastAsia="Calibri" w:hAnsi="Calibri"/>
        </w:rPr>
        <w:t xml:space="preserve"> Aumenta el número de personas que consultan por estos procesos.</w:t>
      </w:r>
    </w:p>
    <w:p>
      <w:pPr>
        <w:pStyle w:val="ListParagraph"/>
        <w:numPr>
          <w:ilvl w:val="0"/>
          <w:numId w:val="3"/>
        </w:numPr>
        <w:spacing w:after="60"/>
      </w:pPr>
      <w:r>
        <w:rPr>
          <w:rFonts w:ascii="Calibri" w:cs="Calibri" w:eastAsia="Calibri" w:hAnsi="Calibri"/>
          <w:b/>
          <w:bCs/>
          <w:color w:val="00768E"/>
        </w:rPr>
        <w:t xml:space="preserve">Centros docentes o con programas comunitarios extensos.</w:t>
      </w:r>
      <w:r>
        <w:rPr>
          <w:rFonts w:ascii="Calibri" w:cs="Calibri" w:eastAsia="Calibri" w:hAnsi="Calibri"/>
        </w:rPr>
        <w:t xml:space="preserve"> Aumentan el tiempo protegido no asistencial.</w:t>
      </w:r>
    </w:p>
    <w:p>
      <w:pPr>
        <w:spacing w:after="140"/>
        <w:jc w:val="both"/>
      </w:pPr>
      <w:r>
        <w:rPr>
          <w:rFonts w:ascii="Calibri" w:cs="Calibri" w:eastAsia="Calibri" w:hAnsi="Calibri"/>
        </w:rPr>
        <w:t xml:space="preserve">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w:pPr>
        <w:pStyle w:val="Heading2"/>
      </w:pPr>
      <w:r>
        <w:rPr>
          <w:rFonts w:ascii="Calibri" w:cs="Calibri" w:eastAsia="Calibri" w:hAnsi="Calibri"/>
        </w:rPr>
        <w:t xml:space="preserve">9.5. Referencias externas de dotación</w:t>
      </w:r>
    </w:p>
    <w:p>
      <w:pPr>
        <w:spacing w:after="140"/>
        <w:jc w:val="both"/>
      </w:pPr>
      <w:r>
        <w:rPr>
          <w:rFonts w:ascii="Calibri" w:cs="Calibri" w:eastAsia="Calibri" w:hAnsi="Calibri"/>
        </w:rPr>
        <w:t xml:space="preserve">La Chartered Society of Physiotherapy pidió en 2022 aumentar la dotación de fisioterapeutas de primer contacto en Inglaterra hasta 1 por cada 10.000 habitantes [171]. Esa cifra es una reivindicación profesional y no una norma del NHS [171]. Se refiere además solo al perfil de primer contacto, de modo que no incluye la atención domiciliaria ni los programas grupales.</w:t>
      </w:r>
    </w:p>
    <w:p>
      <w:pPr>
        <w:pStyle w:val="Heading2"/>
      </w:pPr>
      <w:r>
        <w:rPr>
          <w:rFonts w:ascii="Calibri" w:cs="Calibri" w:eastAsia="Calibri" w:hAnsi="Calibri"/>
        </w:rPr>
        <w:t xml:space="preserve">9.6. Retorno económico esperado</w:t>
      </w:r>
    </w:p>
    <w:p>
      <w:pPr>
        <w:spacing w:after="140"/>
        <w:jc w:val="both"/>
      </w:pPr>
      <w:r>
        <w:rPr>
          <w:rFonts w:ascii="Calibri" w:cs="Calibri" w:eastAsia="Calibri" w:hAnsi="Calibri"/>
        </w:rPr>
        <w:t xml:space="preserve">Este documento no calcula un ahorro para el SNS, porque no existe ninguna evaluación económica española del modelo que propone. Sin embargo, la literatura internacional permite anticipar en qué partidas puede aparecer el retorno y cómo debe medirse.</w:t>
      </w:r>
    </w:p>
    <w:p>
      <w:pPr>
        <w:spacing w:after="140"/>
        <w:jc w:val="both"/>
      </w:pPr>
      <w:r>
        <w:rPr>
          <w:rFonts w:ascii="Calibri" w:cs="Calibri" w:eastAsia="Calibri" w:hAnsi="Calibri"/>
        </w:rPr>
        <w:t xml:space="preserve">En España, el cálculo más próximo es un informe de PwC encargado por el Colegio Profesional de Fisioterapeutas de la Comunidad de Madrid, con datos de 2021 [167]. Su capítulo económico cuantifica el ahorro de cuatro actuaciones: la fisioterapia respiratoria tras la cirugía del cáncer de pulmón, la rehabilitación cardiaca tras un bypass coronario, el síndrome del túnel carpiano y la EPOC grave [167]. La presentación del informe cifra en cerca de 568 millones de euros anuales lo que esas actuaciones podrían liberar al sistema de salud madrileño [167]. Esa cifra es un ahorro potencial y no un ahorro medido. Se obtuvo aplicando a los pacientes estimados en Madrid los efectos de estudios publicados, y tres de las cuatro actuaciones corresponden a la atención hospitalaria [167]. Por eso este documento la cita como orden de magnitud y no como resultado esperable del modelo de AP.</w:t>
      </w:r>
    </w:p>
    <w:p>
      <w:pPr>
        <w:spacing w:after="140"/>
        <w:jc w:val="both"/>
      </w:pPr>
      <w:r>
        <w:rPr>
          <w:rFonts w:ascii="Calibri" w:cs="Calibri" w:eastAsia="Calibri" w:hAnsi="Calibri"/>
        </w:rPr>
        <w:t xml:space="preserve">La primera partida son los costes indirectos. En el dolor lumbar, los costes indirectos supusieron el 88 % del coste total en los Países Bajos [25]. Una revisión de evaluaciones económicas concluyó que la atención del médico general por sí sola no parece la opción más coste-efectiva en el dolor lumbar [137]. Añadir consejo, educación y ejercicio a esa atención resultó más coste-efectivo que la atención médica habitual sola [137]. Otra revisión encontró que el ejercicio, la rehabilitación interdisciplinar, la manipulación vertebral y la terapia cognitivo-conductual suelen ser coste-efectivos en el dolor lumbar subagudo o persistente [172].</w:t>
      </w:r>
    </w:p>
    <w:p>
      <w:pPr>
        <w:spacing w:after="140"/>
        <w:jc w:val="both"/>
      </w:pPr>
      <w:r>
        <w:rPr>
          <w:rFonts w:ascii="Calibri" w:cs="Calibri" w:eastAsia="Calibri" w:hAnsi="Calibri"/>
        </w:rPr>
        <w:t xml:space="preserve">La segunda partida es el uso posterior de servicios. En el estudio de Fritz y colaboradores, la fisioterapia precoz se asoció a un coste médico 2.736 dólares menor por persona con dolor lumbar [32]. En el ensayo FRONTIER, el coste mediano para el NHS fue de 41,0 y 44,0 libras en los grupos de fisioterapia, frente a 105,5 libras en el grupo médico [91, 92]. En Suecia, la valoración inicial por fisioterapia resultó más coste-efectiva que la valoración inicial por el médico general [99].</w:t>
      </w:r>
    </w:p>
    <w:p>
      <w:pPr>
        <w:spacing w:after="140"/>
        <w:jc w:val="both"/>
      </w:pPr>
      <w:r>
        <w:rPr>
          <w:rFonts w:ascii="Calibri" w:cs="Calibri" w:eastAsia="Calibri" w:hAnsi="Calibri"/>
        </w:rPr>
        <w:t xml:space="preserve">La tercera partida es la elección del tratamiento. En el dolor cervical, un ensayo neerlandés en AP comparó terapia manual, fisioterapia basada en ejercicio y atención por el médico general [173]. El coste total de la terapia manual, 447 euros por persona, fue alrededor de un tercio del coste de las otras dos opciones, de 1.297 y 1.379 euros [173]. En cambio, la fisioterapia basada en ejercicio no fue más barata que la atención médica en ese ensayo [173]. Una revisión posterior advierte que el número de evaluaciones económicas en dolor cervical no permite conclusiones firmes [174].</w:t>
      </w:r>
    </w:p>
    <w:p>
      <w:pPr>
        <w:keepNext/>
        <w:spacing w:after="80" w:before="200"/>
      </w:pPr>
      <w:r>
        <w:rPr>
          <w:rFonts w:ascii="Calibri" w:cs="Calibri" w:eastAsia="Calibri" w:hAnsi="Calibri"/>
          <w:b/>
          <w:bCs/>
          <w:color w:val="0096B1"/>
          <w:sz w:val="19"/>
          <w:szCs w:val="19"/>
        </w:rPr>
        <w:t xml:space="preserve">Tabla 9.6. Evidencia económica internacional aplicable al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3"/>
        <w:gridCol w:w="1536"/>
        <w:gridCol w:w="3006"/>
        <w:gridCol w:w="2725"/>
      </w:tblGrid>
      <w:tr>
        <w:trPr>
          <w:cantSplit/>
          <w:tblHeader/>
        </w:trPr>
        <w:tc>
          <w:tcPr>
            <w:tcW w:type="dxa" w:w="18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Partida</w:t>
            </w:r>
          </w:p>
        </w:tc>
        <w:tc>
          <w:tcPr>
            <w:tcW w:type="dxa" w:w="15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30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2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Límite para el SNS</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Costes indirectos</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Lambeek y colaboradores [25]</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Los costes indirectos suponen el 88 % del coste del dolor lumbar</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de coste de la enfermedad, sin evaluar la fisioterapia</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médica frente a atención con ejercicio</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Lin y colaboradores [137, 172]</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Añadir educación y ejercicio es más coste-efectivo que la atención médica sola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Evaluaciones de sistemas con precios distintos</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Fritz y colaboradores [32]</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médico menor con la fisioterapia en los primeros 14 días</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observacional en aseguradoras de Estados Unidos</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en AP</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FRONTIER [91, 92]</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mediano para el NHS menor en los grupos de fisioterapia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público con estructura distinta de la española</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Primera valoración en el centro de salud</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Bornhöft y colaboradores [99]</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Manejo más coste-efectivo con la valoración inicial por fisioterapia</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dentro del centro, no acceso directo</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Tratamiento del dolor cervical</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Korthals-de Bos y colaboradores [173]</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terapia manual costó un tercio que la fisioterapia basada en ejercicio o la atención médica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solo ensayo, con evidencia global insuficiente [174]</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en la interfaz hospitalaria</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[107]</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del 27 % al 49 % en la valoración diagnóstica</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Fuera del alcance de esta propuesta</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actuaciones de fisioterapia en Madrid</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PwC para el CPFCM [167]</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potencial cercano a 568 millones de euros anuales para el sistema de salud madrileño</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Estimación por extrapolación, con tres actuaciones hospitalarias</w:t>
            </w:r>
          </w:p>
        </w:tc>
      </w:tr>
    </w:tbl>
    <w:p>
      <w:pPr>
        <w:spacing w:after="200" w:before="60"/>
      </w:pPr>
      <w:r>
        <w:rPr>
          <w:rFonts w:ascii="Calibri" w:cs="Calibri" w:eastAsia="Calibri" w:hAnsi="Calibri"/>
          <w:i/>
          <w:iCs/>
          <w:color w:val="8C8C8C"/>
          <w:sz w:val="17"/>
          <w:szCs w:val="17"/>
        </w:rPr>
        <w:t xml:space="preserve">Fuente: elaboración propia a partir de los resúmenes de PubMed de los estudios citados y del informe de PwC para el CPFCM.</w:t>
      </w:r>
    </w:p>
    <w:p>
      <w:pPr>
        <w:spacing w:after="140"/>
        <w:jc w:val="both"/>
      </w:pPr>
      <w:r>
        <w:rPr>
          <w:rFonts w:ascii="Calibri" w:cs="Calibri" w:eastAsia="Calibri" w:hAnsi="Calibri"/>
        </w:rPr>
        <w:t xml:space="preserve">Por todo ello, el retorno económico debe medirse y no suponerse. Los indicadores IR-5, IR-6 e IR-7 del anexo B miden las tres partidas descritas: pruebas y derivaciones, incapacidad temporal y medicación. El diseño de evaluación de la sección 11.4 permite atribuir sus cambios al modelo.</w:t>
      </w:r>
    </w:p>
    <w:p>
      <w:pPr>
        <w:pStyle w:val="Heading1"/>
        <w:pageBreakBefore/>
      </w:pPr>
      <w:r>
        <w:rPr>
          <w:rFonts w:ascii="Calibri" w:cs="Calibri" w:eastAsia="Calibri" w:hAnsi="Calibri"/>
        </w:rPr>
        <w:t xml:space="preserve">10. Sistema de evaluación en formato EFQM</w:t>
      </w:r>
    </w:p>
    <w:p>
      <w:pPr>
        <w:spacing w:after="140"/>
        <w:jc w:val="both"/>
      </w:pPr>
      <w:r>
        <w:rPr>
          <w:rFonts w:ascii="Calibri" w:cs="Calibri" w:eastAsia="Calibri" w:hAnsi="Calibri"/>
        </w:rPr>
        <w:t xml:space="preserve">Esta sección define cómo se evalúa el modelo. Los indicadores se organizan según la estructura del modelo EFQM y cada uno tiene una ficha completa en el anexo B.</w:t>
      </w:r>
    </w:p>
    <w:p>
      <w:pPr>
        <w:pStyle w:val="Heading2"/>
      </w:pPr>
      <w:r>
        <w:rPr>
          <w:rFonts w:ascii="Calibri" w:cs="Calibri" w:eastAsia="Calibri" w:hAnsi="Calibri"/>
        </w:rPr>
        <w:t xml:space="preserve">10.1. Marco</w:t>
      </w:r>
    </w:p>
    <w:p>
      <w:pPr>
        <w:spacing w:after="140"/>
        <w:jc w:val="both"/>
      </w:pPr>
      <w:r>
        <w:rPr>
          <w:rFonts w:ascii="Calibri" w:cs="Calibri" w:eastAsia="Calibri" w:hAnsi="Calibri"/>
        </w:rPr>
        <w:t xml:space="preserve">El modelo EFQM se estructura en tres bloques [175]. El bloque de Dirección agrupa el propósito, la visión, la estrategia, la cultura y el liderazgo [175]. El bloque de Ejecución agrupa la implicación de los grupos de interés, la creación de valor sostenible y la gestión del funcionamiento y la transformación [175]. El bloque de Resultados agrupa la percepción de los grupos de interés y el rendimiento estratégico y operativo [175].</w:t>
      </w:r>
    </w:p>
    <w:p>
      <w:pPr>
        <w:spacing w:after="140"/>
        <w:jc w:val="both"/>
      </w:pPr>
      <w:r>
        <w:rPr>
          <w:rFonts w:ascii="Calibri" w:cs="Calibri" w:eastAsia="Calibri" w:hAnsi="Calibri"/>
        </w:rPr>
        <w:t xml:space="preserve">Cada indicador se sitúa en uno de esos criterios. El sistema incluye los indicadores que exigen las decisiones de este documento, como la adecuación de la radiografía simple solicitada. Incluye también el inicio precoz en la incapacidad temporal (IE-10), la adecuación de las derivaciones de medicina de familia a traumatología (IR-13) y la seguridad clínica del acceso directo (IR-14).</w:t>
      </w:r>
    </w:p>
    <w:p>
      <w:pPr>
        <w:pStyle w:val="Heading2"/>
      </w:pPr>
      <w:r>
        <w:rPr>
          <w:rFonts w:ascii="Calibri" w:cs="Calibri" w:eastAsia="Calibri" w:hAnsi="Calibri"/>
        </w:rPr>
        <w:t xml:space="preserve">10.2. Indicadores de Dirección</w:t>
      </w:r>
    </w:p>
    <w:p>
      <w:pPr>
        <w:keepNext/>
        <w:spacing w:after="80" w:before="200"/>
      </w:pPr>
      <w:r>
        <w:rPr>
          <w:rFonts w:ascii="Calibri" w:cs="Calibri" w:eastAsia="Calibri" w:hAnsi="Calibri"/>
          <w:b/>
          <w:bCs/>
          <w:color w:val="0096B1"/>
          <w:sz w:val="19"/>
          <w:szCs w:val="19"/>
        </w:rPr>
        <w:t xml:space="preserve">Tabla 10.1. Indicadores de Dirección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059"/>
        <w:gridCol w:w="1757"/>
        <w:gridCol w:w="1917"/>
        <w:gridCol w:w="25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05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91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ID-1</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autonómica de fisioterapia de atención primaria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aprobada en todas las comunidades autónomas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ID-2</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acceso directo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aprobado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ID-3</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de continuidad con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Documentos de gestión de las áreas sanitarias</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formalizado en todas las áreas sanitarias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ID-4</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protegido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Cultura de la organización y liderazgo</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Igual o superior al valor de tiempo protegido del modelo de dotación</w:t>
            </w:r>
          </w:p>
        </w:tc>
      </w:tr>
    </w:tbl>
    <w:p>
      <w:pPr>
        <w:spacing w:after="200" w:before="60"/>
      </w:pPr>
      <w:r>
        <w:rPr>
          <w:rFonts w:ascii="Calibri" w:cs="Calibri" w:eastAsia="Calibri" w:hAnsi="Calibri"/>
          <w:i/>
          <w:iCs/>
          <w:color w:val="8C8C8C"/>
          <w:sz w:val="17"/>
          <w:szCs w:val="17"/>
        </w:rPr>
        <w:t xml:space="preserve">Fuente: anexo B.</w:t>
      </w:r>
    </w:p>
    <w:p>
      <w:pPr>
        <w:pStyle w:val="Heading2"/>
      </w:pPr>
      <w:r>
        <w:rPr>
          <w:rFonts w:ascii="Calibri" w:cs="Calibri" w:eastAsia="Calibri" w:hAnsi="Calibri"/>
        </w:rPr>
        <w:t xml:space="preserve">10.3. Indicadores de Ejecución</w:t>
      </w:r>
    </w:p>
    <w:p>
      <w:pPr>
        <w:keepNext/>
        <w:spacing w:after="80" w:before="200"/>
      </w:pPr>
      <w:r>
        <w:rPr>
          <w:rFonts w:ascii="Calibri" w:cs="Calibri" w:eastAsia="Calibri" w:hAnsi="Calibri"/>
          <w:b/>
          <w:bCs/>
          <w:color w:val="0096B1"/>
          <w:sz w:val="19"/>
          <w:szCs w:val="19"/>
        </w:rPr>
        <w:t xml:space="preserve">Tabla 10.2. Indicadores de Ejecución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675"/>
        <w:gridCol w:w="2036"/>
        <w:gridCol w:w="2028"/>
        <w:gridCol w:w="25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6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2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20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Cobertura de personal</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IE-2</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Infraestructura de consulta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Inventario de centros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IE-3</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Densidad de fisioterapeutas de AP</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El que resulte del modelo de dotación de la sección 9 para la fase correspondiente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IE-4</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 historia clínica propias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Sistemas de información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IE-5</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hasta la primera valoración</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IE-6</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Distribución de la entrada por vía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 Implicar a los grupos de interés</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descriptivo sin estándar</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IE-7</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tras la primera consulta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seguridad sin estándar fijo, con revisión de cualquier variación brusca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IE-8</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Oferta de programas grupales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Las ediciones del escenario central del anexo 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IE-9</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Atención domiciliaria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IE-10</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Inicio precoz en la incapacidad temporal</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de AP con el registro de la incapacidad temporal</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w:pPr>
        <w:spacing w:after="140"/>
        <w:jc w:val="both"/>
      </w:pPr>
      <w:r>
        <w:rPr>
          <w:rFonts w:ascii="Calibri" w:cs="Calibri" w:eastAsia="Calibri" w:hAnsi="Calibri"/>
        </w:rPr>
        <w:t xml:space="preserve">El indicador IE-7 no mide rechazos. Una persona derivada a otro profesional tras la primera consulta no ha sido rechazada, sino atendida y cribada.</w:t>
      </w:r>
    </w:p>
    <w:p>
      <w:pPr>
        <w:spacing w:after="140"/>
        <w:jc w:val="both"/>
      </w:pPr>
      <w:r>
        <w:rPr>
          <w:rFonts w:ascii="Calibri" w:cs="Calibri" w:eastAsia="Calibri" w:hAnsi="Calibri"/>
        </w:rPr>
        <w:t xml:space="preserve">El indicador IE-6 permite además auditar la gestión de la demanda. En Madrid, la escasa difusión de la gestión compartida dejó sin usar muchos huecos reservados para la cita directa [80]. La distribución de las entradas por vía y la revisión de los motivos registrados muestran si la autorreferencia funciona como se diseñó.</w:t>
      </w:r>
    </w:p>
    <w:p>
      <w:pPr>
        <w:spacing w:after="140"/>
        <w:jc w:val="both"/>
      </w:pPr>
      <w:r>
        <w:rPr>
          <w:rFonts w:ascii="Calibri" w:cs="Calibri" w:eastAsia="Calibri" w:hAnsi="Calibri"/>
        </w:rPr>
        <w:t xml:space="preserve">El indicador IE-10 mide cuánto tarda la fisioterapia de AP en llegar a las personas en incapacidad temporal. Su umbral de 60 días procede de la implicación práctica que proponen Busch y colaboradores tras evaluar la rehabilitación multimodal en Suecia [28]. Ese estudio no demostró por sí solo que el inicio precoz reduzca la baja, de modo que el indicador mide un proceso y no promete un resultado (sección 1.3).</w:t>
      </w:r>
    </w:p>
    <w:p>
      <w:pPr>
        <w:pStyle w:val="Heading2"/>
      </w:pPr>
      <w:r>
        <w:rPr>
          <w:rFonts w:ascii="Calibri" w:cs="Calibri" w:eastAsia="Calibri" w:hAnsi="Calibri"/>
        </w:rPr>
        <w:t xml:space="preserve">10.4. Indicadores de Resultados</w:t>
      </w:r>
    </w:p>
    <w:p>
      <w:pPr>
        <w:keepNext/>
        <w:spacing w:after="80" w:before="200"/>
      </w:pPr>
      <w:r>
        <w:rPr>
          <w:rFonts w:ascii="Calibri" w:cs="Calibri" w:eastAsia="Calibri" w:hAnsi="Calibri"/>
          <w:b/>
          <w:bCs/>
          <w:color w:val="0096B1"/>
          <w:sz w:val="19"/>
          <w:szCs w:val="19"/>
        </w:rPr>
        <w:t xml:space="preserve">Tabla 10.3. Indicadores de Resultados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331"/>
        <w:gridCol w:w="1698"/>
        <w:gridCol w:w="2063"/>
        <w:gridCol w:w="2228"/>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3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69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206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2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intensidad del dolor</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IR-2</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función</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IR-3</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por consecución de objetivos</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IR-4</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Reconsulta por el mismo proceso</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externa del anexo B</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IR-5</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posterior a pruebas o a atención hospitalaria</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IR-6</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Duración de la incapacidad temporal</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e inspección médica</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IR-7</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analgésicos y antiinflamatorios</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Receta electrónica e historia clínica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IR-8</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Experiencia y satisfacción de las personas atendidas</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Percepción de los grupos de interés</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común del servicio de salud</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IR-9</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Equidad territorial</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 y agenda electrónica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 la diferencia en cada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IR-10</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de familia por procesos musculoesqueléticos</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BDCAP</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tendencia sin estándar, porque el efecto esperado no está garantizado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IR-11</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Demora en rehabilitación hospitalaria</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 de información de listas de espera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seguimiento sin estándar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IR-12</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radiografía simple solicitada</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Auditoría de historia clínica</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Estándar fijado en el protocolo consensuado con radiodiagnóstico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IR-13</w:t>
            </w:r>
          </w:p>
        </w:tc>
        <w:tc>
          <w:tcPr>
            <w:tcW w:type="dxa" w:w="23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las derivaciones de medicina de familia a traumatología</w:t>
            </w:r>
          </w:p>
        </w:tc>
        <w:tc>
          <w:tcPr>
            <w:tcW w:type="dxa" w:w="16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compartida de AP y de atención hospitalaria</w:t>
            </w:r>
          </w:p>
        </w:tc>
        <w:tc>
          <w:tcPr>
            <w:tcW w:type="dxa" w:w="22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internacional de la sección 4.4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IR-14</w:t>
            </w:r>
          </w:p>
        </w:tc>
        <w:tc>
          <w:tcPr>
            <w:tcW w:type="dxa" w:w="23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Seguridad clínica del acceso directo</w:t>
            </w:r>
          </w:p>
        </w:tc>
        <w:tc>
          <w:tcPr>
            <w:tcW w:type="dxa" w:w="16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20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 de notificación de incidentes y auditoría de historia clínica</w:t>
            </w:r>
          </w:p>
        </w:tc>
        <w:tc>
          <w:tcPr>
            <w:tcW w:type="dxa" w:w="22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seguridad sin estándar numérico, con revisión de cada caso</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[38].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w:pPr>
        <w:spacing w:after="140"/>
        <w:jc w:val="both"/>
      </w:pPr>
      <w:r>
        <w:rPr>
          <w:rFonts w:ascii="Calibri" w:cs="Calibri" w:eastAsia="Calibri" w:hAnsi="Calibri"/>
        </w:rPr>
        <w:t xml:space="preserve">El indicador IR-13 mide la adecuación de las derivaciones de medicina de familia a traumatología que siguen a una valoración de fisioterapia de AP. Su referencia externa procede del triaje musculoesquelético: una revisión encontró tasas de conversión quirúrgica del 55 % al 91 % con triaje por fisioterapia, frente al 22 % al 38 % sin él [106]. El modelo de este documento no incluye ese triaje, de modo que la referencia solo orienta el estándar. En España, un estudio de 6.225 solicitudes de consulta de AP con traumatología ofrece un punto de comparación sobre la calidad de las derivaciones actuales [36].</w:t>
      </w:r>
    </w:p>
    <w:p>
      <w:pPr>
        <w:spacing w:after="140"/>
        <w:jc w:val="both"/>
      </w:pPr>
      <w:r>
        <w:rPr>
          <w:rFonts w:ascii="Calibri" w:cs="Calibri" w:eastAsia="Calibri" w:hAnsi="Calibri"/>
        </w:rPr>
        <w:t xml:space="preserve">El indicador IR-14 mide la seguridad del acceso directo. Las revisiones no han encontrado eventos adversos graves atribuibles a esta vía [29, 112, 115]. La ausencia de datos españoles obliga, sin embargo, a vigilarla desde el primer día. Por eso el indicador revisa cada caso y no fija un estándar numérico. Su registro exige notificar los incidentes en el sistema de seguridad del paciente de cada servicio de salud.</w:t>
      </w:r>
    </w:p>
    <w:p>
      <w:pPr>
        <w:spacing w:after="140"/>
        <w:jc w:val="both"/>
      </w:pPr>
      <w:r>
        <w:rPr>
          <w:rFonts w:ascii="Calibri" w:cs="Calibri" w:eastAsia="Calibri" w:hAnsi="Calibri"/>
        </w:rPr>
        <w:t xml:space="preserve">Los indicadores de ejecución y de resultados se desagregan por sexo, grupo de edad, ruralidad de la zona básica, discapacidad y modalidad de atención presencial o no presencial. La desagregación muestra desigualdades que la media oculta, incluida la brecha digital. IR-1 e IR-2 son medidas de resultado referidas por la persona atendida (PROM). IR-8 recoge su experiencia con un cuestionario común (PREM).</w:t>
      </w:r>
    </w:p>
    <w:p>
      <w:pPr>
        <w:spacing w:after="140"/>
        <w:jc w:val="both"/>
      </w:pPr>
      <w:r>
        <w:rPr>
          <w:rFonts w:ascii="Calibri" w:cs="Calibri" w:eastAsia="Calibri" w:hAnsi="Calibri"/>
        </w:rPr>
        <w:t xml:space="preserve">Los indicadores de resultados miden también el retorno económico descrito en la sección 9.6. IR-5 recoge las pruebas y las derivaciones, IR-6 la incapacidad temporal e IR-7 la medicación. Ninguno de los tres tiene hoy un estándar español.</w:t>
      </w:r>
    </w:p>
    <w:p>
      <w:pPr>
        <w:pStyle w:val="Heading2"/>
      </w:pPr>
      <w:r>
        <w:rPr>
          <w:rFonts w:ascii="Calibri" w:cs="Calibri" w:eastAsia="Calibri" w:hAnsi="Calibri"/>
        </w:rPr>
        <w:t xml:space="preserve">10.5. Ficha de indicador</w:t>
      </w:r>
    </w:p>
    <w:p>
      <w:pPr>
        <w:spacing w:after="140"/>
        <w:jc w:val="both"/>
      </w:pPr>
      <w:r>
        <w:rPr>
          <w:rFonts w:ascii="Calibri" w:cs="Calibri" w:eastAsia="Calibri" w:hAnsi="Calibri"/>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[176, 177].</w:t>
      </w:r>
    </w:p>
    <w:p>
      <w:pPr>
        <w:pStyle w:val="Heading1"/>
        <w:pageBreakBefore/>
      </w:pPr>
      <w:r>
        <w:rPr>
          <w:rFonts w:ascii="Calibri" w:cs="Calibri" w:eastAsia="Calibri" w:hAnsi="Calibri"/>
        </w:rPr>
        <w:t xml:space="preserve">11. Plan de implantación y gestión de riesgos</w:t>
      </w:r>
    </w:p>
    <w:p>
      <w:pPr>
        <w:spacing w:after="140"/>
        <w:jc w:val="both"/>
      </w:pPr>
      <w:r>
        <w:rPr>
          <w:rFonts w:ascii="Calibri" w:cs="Calibri" w:eastAsia="Calibri" w:hAnsi="Calibri"/>
        </w:rPr>
        <w:t xml:space="preserve">Esta sección ordena el despliegue en el tiempo e identifica los riesgos principales con su mitigación.</w:t>
      </w:r>
    </w:p>
    <w:p>
      <w:pPr>
        <w:pStyle w:val="Heading2"/>
      </w:pPr>
      <w:r>
        <w:rPr>
          <w:rFonts w:ascii="Calibri" w:cs="Calibri" w:eastAsia="Calibri" w:hAnsi="Calibri"/>
        </w:rPr>
        <w:t xml:space="preserve">11.1. Fases e hitos</w:t>
      </w:r>
    </w:p>
    <w:p>
      <w:pPr>
        <w:spacing w:after="140"/>
        <w:jc w:val="both"/>
      </w:pPr>
      <w:r>
        <w:rPr>
          <w:rFonts w:ascii="Calibri" w:cs="Calibri" w:eastAsia="Calibri" w:hAnsi="Calibri"/>
        </w:rPr>
        <w:t xml:space="preserve">El despliegue sigue las fases de la tabla 9.4. La fase de implantación asegura la consulta propia en todas las zonas básicas y la derivación desde medicina de familia y enfermería. La fase de consolidación abre el acceso directo protocolizado y completa los programas del anexo A. En cada zona básica, la autorreferencia se abre cuando sus fisioterapeutas han acreditado la formación en cribado clínico de la sección 11.3. La fase de necesidad especial aplica el modelo a las zonas rurales, envejecidas o con alta dependencia.</w:t>
      </w:r>
    </w:p>
    <w:p>
      <w:pPr>
        <w:spacing w:after="140"/>
        <w:jc w:val="both"/>
      </w:pPr>
      <w:r>
        <w:rPr>
          <w:rFonts w:ascii="Calibri" w:cs="Calibri" w:eastAsia="Calibri" w:hAnsi="Calibri"/>
        </w:rPr>
        <w:t xml:space="preserve">Cada fase termina con un hito verificable mediante los indicadores del anexo B. La fase de implantación termina cuando IE-1 e IE-4 alcanzan su estándar. La fase de consolidación termina cuando ID-2 e ID-3 están aprobados en todas las comunidades autónomas.</w:t>
      </w:r>
    </w:p>
    <w:p>
      <w:pPr>
        <w:pStyle w:val="Heading2"/>
      </w:pPr>
      <w:r>
        <w:rPr>
          <w:rFonts w:ascii="Calibri" w:cs="Calibri" w:eastAsia="Calibri" w:hAnsi="Calibri"/>
        </w:rPr>
        <w:t xml:space="preserve">11.2. Sistemas de información</w:t>
      </w:r>
    </w:p>
    <w:p>
      <w:pPr>
        <w:spacing w:after="140"/>
        <w:jc w:val="both"/>
      </w:pPr>
      <w:r>
        <w:rPr>
          <w:rFonts w:ascii="Calibri" w:cs="Calibri" w:eastAsia="Calibri" w:hAnsi="Calibri"/>
        </w:rPr>
        <w:t xml:space="preserve">El despliegue necesita cuatro cambios en los sistemas de información:</w:t>
      </w:r>
    </w:p>
    <w:p>
      <w:pPr>
        <w:pStyle w:val="ListParagraph"/>
        <w:numPr>
          <w:ilvl w:val="0"/>
          <w:numId w:val="3"/>
        </w:numPr>
        <w:spacing w:after="60"/>
      </w:pPr>
      <w:r>
        <w:rPr>
          <w:rFonts w:ascii="Calibri" w:cs="Calibri" w:eastAsia="Calibri" w:hAnsi="Calibri"/>
        </w:rPr>
        <w:t xml:space="preserve">La codificación de los procesos de la matriz del anexo C en la historia clínica.</w:t>
      </w:r>
    </w:p>
    <w:p>
      <w:pPr>
        <w:pStyle w:val="ListParagraph"/>
        <w:numPr>
          <w:ilvl w:val="0"/>
          <w:numId w:val="3"/>
        </w:numPr>
        <w:spacing w:after="60"/>
      </w:pPr>
      <w:r>
        <w:rPr>
          <w:rFonts w:ascii="Calibri" w:cs="Calibri" w:eastAsia="Calibri" w:hAnsi="Calibri"/>
        </w:rPr>
        <w:t xml:space="preserve">La agenda propia de fisioterapia con las vías de entrada como campo obligatorio.</w:t>
      </w:r>
    </w:p>
    <w:p>
      <w:pPr>
        <w:pStyle w:val="ListParagraph"/>
        <w:numPr>
          <w:ilvl w:val="0"/>
          <w:numId w:val="3"/>
        </w:numPr>
        <w:spacing w:after="60"/>
      </w:pPr>
      <w:r>
        <w:rPr>
          <w:rFonts w:ascii="Calibri" w:cs="Calibri" w:eastAsia="Calibri" w:hAnsi="Calibri"/>
        </w:rPr>
        <w:t xml:space="preserve">El registro de la escala numérica del dolor y del instrumento de función en la primera consulta y en el alta.</w:t>
      </w:r>
    </w:p>
    <w:p>
      <w:pPr>
        <w:pStyle w:val="ListParagraph"/>
        <w:numPr>
          <w:ilvl w:val="0"/>
          <w:numId w:val="3"/>
        </w:numPr>
        <w:spacing w:after="60"/>
      </w:pPr>
      <w:r>
        <w:rPr>
          <w:rFonts w:ascii="Calibri" w:cs="Calibri" w:eastAsia="Calibri" w:hAnsi="Calibri"/>
        </w:rPr>
        <w:t xml:space="preserve">La incorporación de los indicadores del anexo B al SIAP.</w:t>
      </w:r>
    </w:p>
    <w:p>
      <w:pPr>
        <w:spacing w:after="140"/>
        <w:jc w:val="both"/>
      </w:pPr>
      <w:r>
        <w:rPr>
          <w:rFonts w:ascii="Calibri" w:cs="Calibri" w:eastAsia="Calibri" w:hAnsi="Calibri"/>
        </w:rPr>
        <w:t xml:space="preserve">La codificación de los procesos puede partir de la experiencia madrileña. La instrucción de la Gerencia Asistencial de AP asocia cada proceso de citación directa a sus códigos de la Clasificación Internacional de Atención Primaria [9]. La tabla 11.1 recoge esos códigos como punto de partida para la lista común.</w:t>
      </w:r>
    </w:p>
    <w:p>
      <w:pPr>
        <w:keepNext/>
        <w:spacing w:after="80" w:before="200"/>
      </w:pPr>
      <w:r>
        <w:rPr>
          <w:rFonts w:ascii="Calibri" w:cs="Calibri" w:eastAsia="Calibri" w:hAnsi="Calibri"/>
          <w:b/>
          <w:bCs/>
          <w:color w:val="0096B1"/>
          <w:sz w:val="19"/>
          <w:szCs w:val="19"/>
        </w:rPr>
        <w:t xml:space="preserve">Tabla 11.1. Códigos de la Clasificación Internacional de Atención Primaria que usa la instrucción madrileña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7"/>
        <w:gridCol w:w="786"/>
        <w:gridCol w:w="6047"/>
      </w:tblGrid>
      <w:tr>
        <w:trPr>
          <w:cantSplit/>
          <w:tblHeader/>
        </w:trPr>
        <w:tc>
          <w:tcPr>
            <w:tcW w:type="dxa" w:w="22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de citación directa</w:t>
            </w:r>
          </w:p>
        </w:tc>
        <w:tc>
          <w:tcPr>
            <w:tcW w:type="dxa" w:w="7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Códigos</w:t>
            </w:r>
          </w:p>
        </w:tc>
        <w:tc>
          <w:tcPr>
            <w:tcW w:type="dxa" w:w="60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Denominaciones registradas</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L93</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Epicondilitis, codo de tenista, epitrocleitis y tendinitis del codo</w:t>
            </w:r>
          </w:p>
        </w:tc>
      </w:tr>
      <w:tr>
        <w:trPr>
          <w:cantSplit/>
          <w:tblHeader w:val="false"/>
        </w:trPr>
        <w:tc>
          <w:tcPr>
            <w:tcW w:type="dxa" w:w="22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7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L77 y L16</w:t>
            </w:r>
          </w:p>
        </w:tc>
        <w:tc>
          <w:tcPr>
            <w:tcW w:type="dxa" w:w="60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y signo, síntoma, inflamación, dolor o limitación del movimiento del tobillo</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L87 y L17</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fascitis plantar y talalgia</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w:t>
      </w:r>
    </w:p>
    <w:p>
      <w:pPr>
        <w:spacing w:after="140"/>
        <w:jc w:val="both"/>
      </w:pPr>
      <w:r>
        <w:rPr>
          <w:rFonts w:ascii="Calibri" w:cs="Calibri" w:eastAsia="Calibri" w:hAnsi="Calibri"/>
        </w:rPr>
        <w:t xml:space="preserve">La tabla muestra una dificultad práctica. Algunos códigos agrupan signos o síntomas de una región, y no un diagnóstico, como ocurre con el dolor de tobillo. La lista común debe distinguir los códigos que abren la autorreferencia de los que solo describen un síntoma. El grupo de trabajo debe completar además los códigos de los demás procesos de la matriz del anexo C.</w:t>
      </w:r>
    </w:p>
    <w:p>
      <w:pPr>
        <w:pStyle w:val="Heading2"/>
      </w:pPr>
      <w:r>
        <w:rPr>
          <w:rFonts w:ascii="Calibri" w:cs="Calibri" w:eastAsia="Calibri" w:hAnsi="Calibri"/>
        </w:rPr>
        <w:t xml:space="preserve">11.3. Formación</w:t>
      </w:r>
    </w:p>
    <w:p>
      <w:pPr>
        <w:spacing w:after="140"/>
        <w:jc w:val="both"/>
      </w:pPr>
      <w:r>
        <w:rPr>
          <w:rFonts w:ascii="Calibri" w:cs="Calibri" w:eastAsia="Calibri" w:hAnsi="Calibri"/>
        </w:rPr>
        <w:t xml:space="preserve">La formación continuada cubre cuatro áreas: el cribado de signos de alarma, la ecografía como apoyo a la valoración, la gestión de grupos y, si se aprueba la habilitación de la sección 7.4, la protección radiológica.</w:t>
      </w:r>
    </w:p>
    <w:p>
      <w:pPr>
        <w:spacing w:after="140"/>
        <w:jc w:val="both"/>
      </w:pPr>
      <w:r>
        <w:rPr>
          <w:rFonts w:ascii="Calibri" w:cs="Calibri" w:eastAsia="Calibri" w:hAnsi="Calibri"/>
        </w:rPr>
        <w:t xml:space="preserve">La formación en cribado clínico se acredita antes de abrir la autorreferencia en cada zona básica. Esa acreditación define la función de primer contacto sin crear una especialidad nueva, que este documento no pide (sección 7.7). Si se aprueba la ley de la sección 7.6, la formación incorporará también la prescripción.</w:t>
      </w:r>
    </w:p>
    <w:p>
      <w:pPr>
        <w:spacing w:after="140"/>
        <w:jc w:val="both"/>
      </w:pPr>
      <w:r>
        <w:rPr>
          <w:rFonts w:ascii="Calibri" w:cs="Calibri" w:eastAsia="Calibri" w:hAnsi="Calibri"/>
        </w:rPr>
        <w:t xml:space="preserve">La formación debe alcanzar también a otros perfiles del equipo. El personal de las unidades de atención al usuario necesita formación en el guion de citación y en los criterios de exclusión. En Madrid, esa tarea recae sobre las unidades de atención al usuario, en un mostrador público y con poca información previa de la ciudadanía [80]. Medicina de familia y enfermería necesitan conocer los criterios de derivación y de retorno de los circuitos 2 y 3.</w:t>
      </w:r>
    </w:p>
    <w:p>
      <w:pPr>
        <w:spacing w:after="140"/>
        <w:jc w:val="both"/>
      </w:pPr>
      <w:r>
        <w:rPr>
          <w:rFonts w:ascii="Calibri" w:cs="Calibri" w:eastAsia="Calibri" w:hAnsi="Calibri"/>
        </w:rPr>
        <w:t xml:space="preserve">Para los fisioterapeutas, la formación incluye seis contenidos adicionales:</w:t>
      </w:r>
    </w:p>
    <w:p>
      <w:pPr>
        <w:pStyle w:val="ListParagraph"/>
        <w:numPr>
          <w:ilvl w:val="0"/>
          <w:numId w:val="3"/>
        </w:numPr>
        <w:spacing w:after="60"/>
      </w:pPr>
      <w:r>
        <w:rPr>
          <w:rFonts w:ascii="Calibri" w:cs="Calibri" w:eastAsia="Calibri" w:hAnsi="Calibri"/>
        </w:rPr>
        <w:t xml:space="preserve">Los protocolos de exploración de cada proceso, como los que describe la instrucción madrileña para la epicondilalgia y el esguince de tobillo [9].</w:t>
      </w:r>
    </w:p>
    <w:p>
      <w:pPr>
        <w:pStyle w:val="ListParagraph"/>
        <w:numPr>
          <w:ilvl w:val="0"/>
          <w:numId w:val="3"/>
        </w:numPr>
        <w:spacing w:after="60"/>
      </w:pPr>
      <w:r>
        <w:rPr>
          <w:rFonts w:ascii="Calibri" w:cs="Calibri" w:eastAsia="Calibri" w:hAnsi="Calibri"/>
        </w:rPr>
        <w:t xml:space="preserve">Los instrumentos de medida validados en castellano, como el PRTEE [155] y la versión española de STarT Back [154].</w:t>
      </w:r>
    </w:p>
    <w:p>
      <w:pPr>
        <w:pStyle w:val="ListParagraph"/>
        <w:numPr>
          <w:ilvl w:val="0"/>
          <w:numId w:val="3"/>
        </w:numPr>
        <w:spacing w:after="60"/>
      </w:pPr>
      <w:r>
        <w:rPr>
          <w:rFonts w:ascii="Calibri" w:cs="Calibri" w:eastAsia="Calibri" w:hAnsi="Calibri"/>
        </w:rPr>
        <w:t xml:space="preserve">La codificación de los procesos con la Clasificación Internacional de Atención Primaria.</w:t>
      </w:r>
    </w:p>
    <w:p>
      <w:pPr>
        <w:pStyle w:val="ListParagraph"/>
        <w:numPr>
          <w:ilvl w:val="0"/>
          <w:numId w:val="3"/>
        </w:numPr>
        <w:spacing w:after="60"/>
      </w:pPr>
      <w:r>
        <w:rPr>
          <w:rFonts w:ascii="Calibri" w:cs="Calibri" w:eastAsia="Calibri" w:hAnsi="Calibri"/>
        </w:rPr>
        <w:t xml:space="preserve">El registro de cada exploración ecográfica en la historia clínica, que permite auditar su uso (sección 7.3).</w:t>
      </w:r>
    </w:p>
    <w:p>
      <w:pPr>
        <w:pStyle w:val="ListParagraph"/>
        <w:numPr>
          <w:ilvl w:val="0"/>
          <w:numId w:val="3"/>
        </w:numPr>
        <w:spacing w:after="60"/>
      </w:pPr>
      <w:r>
        <w:rPr>
          <w:rFonts w:ascii="Calibri" w:cs="Calibri" w:eastAsia="Calibri" w:hAnsi="Calibri"/>
        </w:rPr>
        <w:t xml:space="preserve">La comunicación clínica, la toma compartida de decisiones y el enfoque biopsicosocial del dolor persistente.</w:t>
      </w:r>
    </w:p>
    <w:p>
      <w:pPr>
        <w:pStyle w:val="ListParagraph"/>
        <w:numPr>
          <w:ilvl w:val="0"/>
          <w:numId w:val="3"/>
        </w:numPr>
        <w:spacing w:after="60"/>
      </w:pPr>
      <w:r>
        <w:rPr>
          <w:rFonts w:ascii="Calibri" w:cs="Calibri" w:eastAsia="Calibri" w:hAnsi="Calibri"/>
        </w:rPr>
        <w:t xml:space="preserve">La seguridad del paciente y la notificación de incidentes, que alimentan el indicador IR-14.</w:t>
      </w:r>
    </w:p>
    <w:p>
      <w:pPr>
        <w:spacing w:after="140"/>
        <w:jc w:val="both"/>
      </w:pPr>
      <w:r>
        <w:rPr>
          <w:rFonts w:ascii="Calibri" w:cs="Calibri" w:eastAsia="Calibri" w:hAnsi="Calibri"/>
        </w:rPr>
        <w:t xml:space="preserve">La educación en neurociencia del dolor requiere una formación específica, porque su efecto depende de cómo se combine con el ejercicio (sección 5.4).</w:t>
      </w:r>
    </w:p>
    <w:p>
      <w:pPr>
        <w:pStyle w:val="Heading2"/>
      </w:pPr>
      <w:r>
        <w:rPr>
          <w:rFonts w:ascii="Calibri" w:cs="Calibri" w:eastAsia="Calibri" w:hAnsi="Calibri"/>
        </w:rPr>
        <w:t xml:space="preserve">11.4. Gobernanza</w:t>
      </w:r>
    </w:p>
    <w:p>
      <w:pPr>
        <w:spacing w:after="140"/>
        <w:jc w:val="both"/>
      </w:pPr>
      <w:r>
        <w:rPr>
          <w:rFonts w:ascii="Calibri" w:cs="Calibri" w:eastAsia="Calibri" w:hAnsi="Calibri"/>
        </w:rPr>
        <w:t xml:space="preserve">Este documento propone un grupo de trabajo en la Comisión de Atención Primaria del Consejo Interterritorial [45]. El grupo tendría seis tareas:</w:t>
      </w:r>
    </w:p>
    <w:p>
      <w:pPr>
        <w:pStyle w:val="ListParagraph"/>
        <w:numPr>
          <w:ilvl w:val="0"/>
          <w:numId w:val="3"/>
        </w:numPr>
        <w:spacing w:after="60"/>
      </w:pPr>
      <w:r>
        <w:rPr>
          <w:rFonts w:ascii="Calibri" w:cs="Calibri" w:eastAsia="Calibri" w:hAnsi="Calibri"/>
        </w:rPr>
        <w:t xml:space="preserve">Aprobar la matriz común del anexo C.</w:t>
      </w:r>
    </w:p>
    <w:p>
      <w:pPr>
        <w:pStyle w:val="ListParagraph"/>
        <w:numPr>
          <w:ilvl w:val="0"/>
          <w:numId w:val="3"/>
        </w:numPr>
        <w:spacing w:after="60"/>
      </w:pPr>
      <w:r>
        <w:rPr>
          <w:rFonts w:ascii="Calibri" w:cs="Calibri" w:eastAsia="Calibri" w:hAnsi="Calibri"/>
        </w:rPr>
        <w:t xml:space="preserve">Fijar los estándares de los indicadores tras el primer año.</w:t>
      </w:r>
    </w:p>
    <w:p>
      <w:pPr>
        <w:pStyle w:val="ListParagraph"/>
        <w:numPr>
          <w:ilvl w:val="0"/>
          <w:numId w:val="3"/>
        </w:numPr>
        <w:spacing w:after="60"/>
      </w:pPr>
      <w:r>
        <w:rPr>
          <w:rFonts w:ascii="Calibri" w:cs="Calibri" w:eastAsia="Calibri" w:hAnsi="Calibri"/>
        </w:rPr>
        <w:t xml:space="preserve">Medir los parámetros del modelo de la sección 9.</w:t>
      </w:r>
    </w:p>
    <w:p>
      <w:pPr>
        <w:pStyle w:val="ListParagraph"/>
        <w:numPr>
          <w:ilvl w:val="0"/>
          <w:numId w:val="3"/>
        </w:numPr>
        <w:spacing w:after="60"/>
      </w:pPr>
      <w:r>
        <w:rPr>
          <w:rFonts w:ascii="Calibri" w:cs="Calibri" w:eastAsia="Calibri" w:hAnsi="Calibri"/>
        </w:rPr>
        <w:t xml:space="preserve">Impulsar la actualización del apartado 6 del anexo II del Real Decreto 1030/2006.</w:t>
      </w:r>
    </w:p>
    <w:p>
      <w:pPr>
        <w:pStyle w:val="ListParagraph"/>
        <w:numPr>
          <w:ilvl w:val="0"/>
          <w:numId w:val="3"/>
        </w:numPr>
        <w:spacing w:after="60"/>
      </w:pPr>
      <w:r>
        <w:rPr>
          <w:rFonts w:ascii="Calibri" w:cs="Calibri" w:eastAsia="Calibri" w:hAnsi="Calibri"/>
        </w:rPr>
        <w:t xml:space="preserve">Aprobar la lista común de códigos de la Clasificación Internacional de Atención Primaria de los procesos de la matriz.</w:t>
      </w:r>
    </w:p>
    <w:p>
      <w:pPr>
        <w:pStyle w:val="ListParagraph"/>
        <w:numPr>
          <w:ilvl w:val="0"/>
          <w:numId w:val="3"/>
        </w:numPr>
        <w:spacing w:after="60"/>
      </w:pPr>
      <w:r>
        <w:rPr>
          <w:rFonts w:ascii="Calibri" w:cs="Calibri" w:eastAsia="Calibri" w:hAnsi="Calibri"/>
        </w:rPr>
        <w:t xml:space="preserve">Articular la prescripción de fisioterapia cuando se apruebe la ley de la sección 7.6.</w:t>
      </w:r>
    </w:p>
    <w:p>
      <w:pPr>
        <w:spacing w:after="140"/>
        <w:jc w:val="both"/>
      </w:pPr>
      <w:r>
        <w:rPr>
          <w:rFonts w:ascii="Calibri" w:cs="Calibri" w:eastAsia="Calibri" w:hAnsi="Calibri"/>
        </w:rPr>
        <w:t xml:space="preserve">La gobernanza necesita también un nivel territorial. Cada gerencia o área de AP con tamaño suficiente designa una coordinación de fisioterapia. Esa coordinación responde de la cartera, la calidad, la homogeneidad de los circuitos, la formación y la evaluación en su territorio. También es la interlocutora del grupo de trabajo para medir los parámetros del modelo.</w:t>
      </w:r>
    </w:p>
    <w:p>
      <w:pPr>
        <w:spacing w:after="140"/>
        <w:jc w:val="both"/>
      </w:pPr>
      <w:r>
        <w:rPr>
          <w:rFonts w:ascii="Calibri" w:cs="Calibri" w:eastAsia="Calibri" w:hAnsi="Calibri"/>
        </w:rPr>
        <w:t xml:space="preserve">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 Otros sistemas públicos usan ya este diseño. En Ontario, un grupo de investigación diseñó un ensayo por conglomerados para comparar un modelo de AP liderado por fisioterapia con la atención habitual en el dolor lumbar [104]. Un diseño análogo por zonas básicas o por áreas permitiría al SNS obtener la primera evaluación española del acceso directo.</w:t>
      </w:r>
    </w:p>
    <w:p>
      <w:pPr>
        <w:pStyle w:val="Heading2"/>
      </w:pPr>
      <w:r>
        <w:rPr>
          <w:rFonts w:ascii="Calibri" w:cs="Calibri" w:eastAsia="Calibri" w:hAnsi="Calibri"/>
        </w:rPr>
        <w:t xml:space="preserve">11.5. Riesgos y mitigación</w:t>
      </w:r>
    </w:p>
    <w:p>
      <w:pPr>
        <w:keepNext/>
        <w:spacing w:after="80" w:before="200"/>
      </w:pPr>
      <w:r>
        <w:rPr>
          <w:rFonts w:ascii="Calibri" w:cs="Calibri" w:eastAsia="Calibri" w:hAnsi="Calibri"/>
          <w:b/>
          <w:bCs/>
          <w:color w:val="0096B1"/>
          <w:sz w:val="19"/>
          <w:szCs w:val="19"/>
        </w:rPr>
        <w:t xml:space="preserve">Tabla 11.2. Riesgos del despliegue y medidas de mitigación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1"/>
        <w:gridCol w:w="4031"/>
        <w:gridCol w:w="1008"/>
      </w:tblGrid>
      <w:tr>
        <w:trPr>
          <w:cantSplit/>
          <w:tblHeader/>
        </w:trPr>
        <w:tc>
          <w:tcPr>
            <w:tcW w:type="dxa" w:w="40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Riesgo</w:t>
            </w:r>
          </w:p>
        </w:tc>
        <w:tc>
          <w:tcPr>
            <w:tcW w:type="dxa" w:w="40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Mitigación</w:t>
            </w:r>
          </w:p>
        </w:tc>
        <w:tc>
          <w:tcPr>
            <w:tcW w:type="dxa" w:w="10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Indicador de seguimiento</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fisioterapia de AP como lista de espera de la rehabilitación hospitalaria</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4 con criterios de entrada y retorno, y exclusión de la demora hospitalaria como criterio de dotación</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 e IR-11</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Variabilidad entre comunidades autónomas</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Matriz común, fichas comunes e indicadores en el SIAP</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IR-9</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Falta de espacio físico en los centros</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Priorizar la consulta propia en la fase de implantación</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IE-2</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Resistencia profesional al acceso directo</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Protocolos consensuados con medicina de familia y enfermería, y sesiones clínicas compartidas</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IE-7</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captación de la autorreferencia al inicio</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Información a la ciudadanía y despliegue por fases</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Demanda superior a la capacidad</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de la dotación con el modelo y medición de los parámetros reales</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IE-3</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Retraso de la habilitación para solicitar radiografía simple</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compartido con medicina de familia mientras no se apruebe</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IR-5</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Aplicación desigual de la gestión de la demanda por falta de formación del personal administrativo</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Guion de citación con lista cerrada de motivos, formación específica y auditoría de los motivos registrados</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de la demanda por la mayor accesibilidad del servicio</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acceso de la matriz, derivación a programas grupales y ajuste de la dotación con el modelo</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IE-8</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Codificación heterogénea de los procesos</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Lista común de códigos aprobada por el grupo de trabajo</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IE-6</w:t>
            </w:r>
          </w:p>
        </w:tc>
      </w:tr>
      <w:tr>
        <w:trPr>
          <w:cantSplit/>
          <w:tblHeader w:val="false"/>
        </w:trPr>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Signo de alarma no detectado en la autorreferencia</w:t>
            </w:r>
          </w:p>
        </w:tc>
        <w:tc>
          <w:tcPr>
            <w:tcW w:type="dxa" w:w="40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Formación acreditada en cribado, exclusiones de la tabla 8.2 y revisión de cada incidente</w:t>
            </w:r>
          </w:p>
        </w:tc>
        <w:tc>
          <w:tcPr>
            <w:tcW w:type="dxa" w:w="10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IR-14 e IE-7</w:t>
            </w:r>
          </w:p>
        </w:tc>
      </w:tr>
      <w:tr>
        <w:trPr>
          <w:cantSplit/>
          <w:tblHeader w:val="false"/>
        </w:trPr>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Llegada tardía a las personas en incapacidad temporal</w:t>
            </w:r>
          </w:p>
        </w:tc>
        <w:tc>
          <w:tcPr>
            <w:tcW w:type="dxa" w:w="40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Prioridad de cita para las personas de baja por procesos de la matriz</w:t>
            </w:r>
          </w:p>
        </w:tc>
        <w:tc>
          <w:tcPr>
            <w:tcW w:type="dxa" w:w="10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IE-10</w:t>
            </w:r>
          </w:p>
        </w:tc>
      </w:tr>
    </w:tbl>
    <w:p>
      <w:pPr>
        <w:spacing w:after="200" w:before="60"/>
      </w:pPr>
      <w:r>
        <w:rPr>
          <w:rFonts w:ascii="Calibri" w:cs="Calibri" w:eastAsia="Calibri" w:hAnsi="Calibri"/>
          <w:i/>
          <w:iCs/>
          <w:color w:val="8C8C8C"/>
          <w:sz w:val="17"/>
          <w:szCs w:val="17"/>
        </w:rPr>
        <w:t xml:space="preserve">Fuente: elaboración propia a partir del diagnóstico de las secciones 3, 4 y 9.</w:t>
      </w:r>
    </w:p>
    <w:p>
      <w:pPr>
        <w:spacing w:after="140"/>
        <w:jc w:val="both"/>
      </w:pPr>
      <w:r>
        <w:rPr>
          <w:rFonts w:ascii="Calibri" w:cs="Calibri" w:eastAsia="Calibri" w:hAnsi="Calibri"/>
        </w:rPr>
        <w:t xml:space="preserve">La baja captación inicial de la autorreferencia está documentada: en el estudio STEMS-2 supuso el 10 % y el 6 % de las entradas en los dos brazos [114]. En los Países Bajos, la proporción pasó del 28 % en el primer año al 74,3 % en 2024 [93, 95].</w:t>
      </w:r>
    </w:p>
    <w:p>
      <w:pPr>
        <w:spacing w:after="140"/>
        <w:jc w:val="both"/>
      </w:pPr>
      <w:r>
        <w:rPr>
          <w:rFonts w:ascii="Calibri" w:cs="Calibri" w:eastAsia="Calibri" w:hAnsi="Calibri"/>
        </w:rPr>
        <w:t xml:space="preserve">El aumento de la demanda es un riesgo conocido desde los primeros estudios británicos. Una revisión económica de 1997 advirtió que la fisioterapia en AP parecía generar más demanda que los demás modelos de acceso [86]. En cambio, el primer año de acceso directo en los Países Bajos no aumentó el número total de pacientes atendidos [93]. El modelo de dotación de la sección 9 y los indicadores IE-5 e IE-8 permiten detectar ese efecto y corregirlo.</w:t>
      </w:r>
    </w:p>
    <w:p>
      <w:pPr>
        <w:pStyle w:val="Heading1"/>
        <w:pageBreakBefore/>
      </w:pPr>
      <w:r>
        <w:rPr>
          <w:rFonts w:ascii="Calibri" w:cs="Calibri" w:eastAsia="Calibri" w:hAnsi="Calibri"/>
        </w:rPr>
        <w:t xml:space="preserve">12. Propuesta de texto para el documento ministerial</w:t>
      </w:r>
    </w:p>
    <w:p>
      <w:pPr>
        <w:spacing w:after="140"/>
        <w:jc w:val="both"/>
      </w:pPr>
      <w:r>
        <w:rPr>
          <w:rFonts w:ascii="Calibri" w:cs="Calibri" w:eastAsia="Calibri" w:hAnsi="Calibri"/>
        </w:rPr>
        <w:t xml:space="preserve">Esta sección ofrece un texto que el Ministerio de Sanidad puede incorporar como acuerdo. Las cifras de dotación proceden del modelo de la sección 9.</w:t>
      </w:r>
    </w:p>
    <w:p>
      <w:pPr>
        <w:spacing w:after="140"/>
        <w:jc w:val="both"/>
      </w:pPr>
      <w:r>
        <w:rPr>
          <w:rFonts w:ascii="Calibri" w:cs="Calibri" w:eastAsia="Calibri" w:hAnsi="Calibri"/>
          <w:b/>
          <w:bCs/>
          <w:color w:val="00768E"/>
        </w:rPr>
        <w:t xml:space="preserve">Primero. Modelo organizativo.</w:t>
      </w:r>
      <w:r>
        <w:rPr>
          <w:rFonts w:ascii="Calibri" w:cs="Calibri" w:eastAsia="Calibri" w:hAnsi="Calibri"/>
        </w:rPr>
        <w:t xml:space="preserve"> Se implanta en el Sistema Nacional de Salud un modelo homogéneo de fisioterapia de atención primaria. El fisioterapeuta se integra en el equipo de atención primaria de cada zona básica de salud. Dispone de consulta propia, agenda propia y registro en la historia clínica compartida. Su jornada incluye tiempo protegido para la actividad comunitaria, docente e investigadora. El plan de intervención prioriza la educación, el ejercicio terapéutico y el automanejo. La terapia manual y los medios físicos se usan como complemento cuando están indicados. La actividad se organiza en tres niveles: consulta de primer contacto, intervención grupal e intervención comunitaria, y fisioterapia domiciliaria y de continuidad.</w:t>
      </w:r>
    </w:p>
    <w:p>
      <w:pPr>
        <w:spacing w:after="140"/>
        <w:jc w:val="both"/>
      </w:pPr>
      <w:r>
        <w:rPr>
          <w:rFonts w:ascii="Calibri" w:cs="Calibri" w:eastAsia="Calibri" w:hAnsi="Calibri"/>
          <w:b/>
          <w:bCs/>
          <w:color w:val="00768E"/>
        </w:rPr>
        <w:t xml:space="preserve">Segundo. Vías de acceso.</w:t>
      </w:r>
      <w:r>
        <w:rPr>
          <w:rFonts w:ascii="Calibri" w:cs="Calibri" w:eastAsia="Calibri" w:hAnsi="Calibri"/>
        </w:rPr>
        <w:t xml:space="preserve"> El acceso a la fisioterapia de atención primaria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codificados con la Clasificación Internacional de Atención Primaria, y el cribado clínico corresponde siempre al fisioterapeuta. La autorreferencia se abre en cada zona básica cuando sus fisioterapeutas acreditan la formación en cribado clínico. El personal administrativo que aplica el protocolo recibe formación específica y dispone de un guion de citación común. El Consejo Interterritorial impulsa la actualización del apartado 6 del anexo II del Real Decreto 1030/2006. La actualización recoge en la cartera común la autorreferencia protocolizada y la derivación desde los demás profesionales del equipo.</w:t>
      </w:r>
    </w:p>
    <w:p>
      <w:pPr>
        <w:spacing w:after="140"/>
        <w:jc w:val="both"/>
      </w:pPr>
      <w:r>
        <w:rPr>
          <w:rFonts w:ascii="Calibri" w:cs="Calibri" w:eastAsia="Calibri" w:hAnsi="Calibri"/>
          <w:b/>
          <w:bCs/>
          <w:color w:val="00768E"/>
        </w:rPr>
        <w:t xml:space="preserve">Tercero. Competencias.</w:t>
      </w:r>
      <w:r>
        <w:rPr>
          <w:rFonts w:ascii="Calibri" w:cs="Calibri" w:eastAsia="Calibri" w:hAnsi="Calibri"/>
        </w:rPr>
        <w:t xml:space="preserve"> Se reconoce el uso de la ecografía por el fisioterapeuta de atención primaria como apoyo a la valoración, sin informe radiológico. Se reconoce igualmente su capacidad para valorar, diagnosticar desde la fisioterapia, dar el alta y derivar a otros profesionales del equipo, que ya ampara la Ley 44/2003. Se inicia el desarrollo normativo para habilitar al fisioterapeuta de atención primaria como prescriptor de radiología simple musculoesquelética en los procesos protocolizados. Mientras tanto, se aplica un protocolo compartido con medicina de familia. La prescripción de fisioterapia se incorpora al modelo cuando se aprueben la Ley de los Medicamentos y Productos Sanitarios y su desarrollo reglamentario.</w:t>
      </w:r>
    </w:p>
    <w:p>
      <w:pPr>
        <w:spacing w:after="140"/>
        <w:jc w:val="both"/>
      </w:pPr>
      <w:r>
        <w:rPr>
          <w:rFonts w:ascii="Calibri" w:cs="Calibri" w:eastAsia="Calibri" w:hAnsi="Calibri"/>
          <w:b/>
          <w:bCs/>
          <w:color w:val="00768E"/>
        </w:rPr>
        <w:t xml:space="preserve">Cuarto. Dotación.</w:t>
      </w:r>
      <w:r>
        <w:rPr>
          <w:rFonts w:ascii="Calibri" w:cs="Calibri" w:eastAsia="Calibri" w:hAnsi="Calibri"/>
        </w:rPr>
        <w:t xml:space="preserve"> La dotación de fisioterapeutas de atención primaria se calcula con un modelo común de demanda y se expresa en equivalentes a tiempo completo. En la fase de implantación, ninguna comunidad autónoma queda por debajo de 1 fisioterapeuta por cada 23.900 habitantes (tabla 9.4). En la fase de consolidación, la referencia de planificación es de 1 fisioterapeuta por cada 7.500 habitantes (tabla 9.4). En zonas rurales, envejecidas o con alta dependencia, la dotación se ajusta con el mismo modelo hasta 1 fisioterapeuta por cada 4.400 habitantes (tabla 9.4).</w:t>
      </w:r>
    </w:p>
    <w:p>
      <w:pPr>
        <w:spacing w:after="140"/>
        <w:jc w:val="both"/>
      </w:pPr>
      <w:r>
        <w:rPr>
          <w:rFonts w:ascii="Calibri" w:cs="Calibri" w:eastAsia="Calibri" w:hAnsi="Calibri"/>
          <w:b/>
          <w:bCs/>
          <w:color w:val="00768E"/>
        </w:rPr>
        <w:t xml:space="preserve">Quinto. Evaluación.</w:t>
      </w:r>
      <w:r>
        <w:rPr>
          <w:rFonts w:ascii="Calibri" w:cs="Calibri" w:eastAsia="Calibri" w:hAnsi="Calibri"/>
        </w:rPr>
        <w:t xml:space="preserve"> Los servicios de salud registran en el Sistema de Información de Atención Primaria los indicadores comunes de dirección, ejecución y resultados definidos en este documento. La evaluación mide la cobertura, la accesibilidad, la seguridad clínica, los resultados funcionales y la experiencia de las personas atendidas. Los indicadores se desagregan por sexo, grupo de edad, ruralidad, discapacidad y modalidad de atención. Mide también las derivaciones evitadas, el tiempo de acceso de las personas en incapacidad temporal, la adecuación de las derivaciones de medicina de familia a traumatología y la equidad territorial. El retorno económico se mide con esos indicadores y no se supone de antemano.</w:t>
      </w:r>
    </w:p>
    <w:p>
      <w:pPr>
        <w:spacing w:after="140"/>
        <w:jc w:val="both"/>
      </w:pPr>
      <w:r>
        <w:rPr>
          <w:rFonts w:ascii="Calibri" w:cs="Calibri" w:eastAsia="Calibri" w:hAnsi="Calibri"/>
          <w:b/>
          <w:bCs/>
          <w:color w:val="00768E"/>
        </w:rPr>
        <w:t xml:space="preserve">Sexto. Gobernanza.</w:t>
      </w:r>
      <w:r>
        <w:rPr>
          <w:rFonts w:ascii="Calibri" w:cs="Calibri" w:eastAsia="Calibri" w:hAnsi="Calibri"/>
        </w:rPr>
        <w:t xml:space="preserve"> Se crea un grupo de trabajo en la Comisión de Atención Primaria del Consejo Interterritorial. El grupo aprueba la matriz común de procesos y fija los estándares de los indicadores tras el primer año. También aprueba la lista común de códigos de los procesos, mide los parámetros del modelo de dotación y coordina el despliegue por fases. Cuando se apruebe la ley de medicamentos, articula además la prescripción de fisioterapia con la matriz común. El despliegue escalonado se diseña de modo que permita comparar zonas con y sin acceso directo en el mismo periodo. Cada gerencia o área de atención primaria designa una coordinación de fisioterapia, responsable de la cartera, la calidad, la formación y la evaluación en su territorio.</w:t>
      </w:r>
    </w:p>
    <w:p>
      <w:pPr>
        <w:pStyle w:val="Heading1"/>
        <w:pageBreakBefore/>
      </w:pPr>
      <w:r>
        <w:rPr>
          <w:rFonts w:ascii="Calibri" w:cs="Calibri" w:eastAsia="Calibri" w:hAnsi="Calibri"/>
        </w:rPr>
        <w:t xml:space="preserve">Anexo A. Fichas de programas grupales y comunitarios</w:t>
      </w:r>
    </w:p>
    <w:p>
      <w:pPr>
        <w:spacing w:after="140"/>
        <w:jc w:val="both"/>
      </w:pPr>
      <w:r>
        <w:rPr>
          <w:rFonts w:ascii="Calibri" w:cs="Calibri" w:eastAsia="Calibri" w:hAnsi="Calibri"/>
        </w:rPr>
        <w:t xml:space="preserve">Este anexo contiene la ficha de cada programa grupal y de cada intervención comunitaria. Las fichas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w:pPr>
        <w:pStyle w:val="Heading3"/>
      </w:pPr>
      <w:r>
        <w:rPr>
          <w:rFonts w:ascii="Calibri" w:cs="Calibri" w:eastAsia="Calibri" w:hAnsi="Calibri"/>
        </w:rPr>
        <w:t xml:space="preserve">Ficha PG-01. Prevención de caídas y fragilidad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213"/>
      </w:tblGrid>
      <w:tr>
        <w:trPr>
          <w:cantSplit/>
          <w:tblHeader/>
        </w:trPr>
        <w:tc>
          <w:tcPr>
            <w:tcW w:type="dxa" w:w="38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 65 años o más que viven en la comunidad</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o de riesgo de caídas positivo realizado por enfermería familiar y comunitaria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 P13</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enfermería familiar y comunitaria en la captación y el seguimiento</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Doce semanas con dos sesiones semanales de ejercicio de equilibrio, funcional y de fuerza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28,0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4 y 6</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[124]</w:t>
            </w:r>
          </w:p>
        </w:tc>
      </w:tr>
    </w:tbl>
    <w:p>
      <w:pPr>
        <w:pStyle w:val="Heading3"/>
      </w:pPr>
      <w:r>
        <w:rPr>
          <w:rFonts w:ascii="Calibri" w:cs="Calibri" w:eastAsia="Calibri" w:hAnsi="Calibri"/>
        </w:rPr>
        <w:t xml:space="preserve">Ficha PG-02. Dolor persistente: educación en neurociencia del dolor y ejercicio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8"/>
        <w:gridCol w:w="5232"/>
      </w:tblGrid>
      <w:tr>
        <w:trPr>
          <w:cantSplit/>
          <w:tblHeader/>
        </w:trPr>
        <w:tc>
          <w:tcPr>
            <w:tcW w:type="dxa" w:w="383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dolor persistente no complejo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medicina de familia en la selección de participantes</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15</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sesiones de educación, con diez horas en total, y dieciocho sesiones de ejercicio de una hora, según el ensayo de atención primaria de Castilla y León</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1,17</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32,1</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[125]</w:t>
            </w:r>
          </w:p>
        </w:tc>
      </w:tr>
    </w:tbl>
    <w:p>
      <w:pPr>
        <w:pStyle w:val="Heading3"/>
      </w:pPr>
      <w:r>
        <w:rPr>
          <w:rFonts w:ascii="Calibri" w:cs="Calibri" w:eastAsia="Calibri" w:hAnsi="Calibri"/>
        </w:rPr>
        <w:t xml:space="preserve">Ficha PG-03. Artrosis de rodilla y cadera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4673"/>
      </w:tblGrid>
      <w:tr>
        <w:trPr>
          <w:cantSplit/>
          <w:tblHeader/>
        </w:trPr>
        <w:tc>
          <w:tcPr>
            <w:tcW w:type="dxa" w:w="43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67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artrosis leve o moderada</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semanas con dos sesiones semanales de ejercicio terapéutico y educación</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[126]</w:t>
            </w:r>
          </w:p>
        </w:tc>
      </w:tr>
    </w:tbl>
    <w:p>
      <w:pPr>
        <w:pStyle w:val="Heading3"/>
      </w:pPr>
      <w:r>
        <w:rPr>
          <w:rFonts w:ascii="Calibri" w:cs="Calibri" w:eastAsia="Calibri" w:hAnsi="Calibri"/>
        </w:rPr>
        <w:t xml:space="preserve">Ficha PG-04. EPOC en fase estable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0"/>
        <w:gridCol w:w="5140"/>
      </w:tblGrid>
      <w:tr>
        <w:trPr>
          <w:cantSplit/>
          <w:tblHeader/>
        </w:trPr>
        <w:tc>
          <w:tcPr>
            <w:tcW w:type="dxa" w:w="39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Compartido: fisioterapia en el ejercicio y enfermería familiar y comunitaria en la educación sobre autocuidado e inhaladores</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 a 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Ocho semanas con dos sesiones semanales de entrenamiento al ejercicio y educación</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16</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0,75</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r>
    </w:tbl>
    <w:p>
      <w:pPr>
        <w:pStyle w:val="Heading3"/>
      </w:pPr>
      <w:r>
        <w:rPr>
          <w:rFonts w:ascii="Calibri" w:cs="Calibri" w:eastAsia="Calibri" w:hAnsi="Calibri"/>
        </w:rPr>
        <w:t xml:space="preserve">Ficha PG-05. Escuela de espalda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475"/>
      </w:tblGrid>
      <w:tr>
        <w:trPr>
          <w:cantSplit/>
          <w:tblHeader/>
        </w:trPr>
        <w:tc>
          <w:tcPr>
            <w:tcW w:type="dxa" w:w="459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4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artralgias vertebrales mecánicas</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en la consulta de fisioterapia de primer contacto</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semanas con dos sesiones semanales de ejercicio y educación</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 4 y 6</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[128]</w:t>
            </w:r>
          </w:p>
        </w:tc>
      </w:tr>
    </w:tbl>
    <w:p>
      <w:pPr>
        <w:pStyle w:val="Heading3"/>
      </w:pPr>
      <w:r>
        <w:rPr>
          <w:rFonts w:ascii="Calibri" w:cs="Calibri" w:eastAsia="Calibri" w:hAnsi="Calibri"/>
        </w:rPr>
        <w:t xml:space="preserve">Ficha PC-01. Promoción de la actividad física con activos comunitarios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4"/>
        <w:gridCol w:w="5106"/>
      </w:tblGrid>
      <w:tr>
        <w:trPr>
          <w:cantSplit/>
          <w:tblHeader/>
        </w:trPr>
        <w:tc>
          <w:tcPr>
            <w:tcW w:type="dxa" w:w="39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general adulta de la zona básica de salud</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Equipo de atención primaria, con fisioterapia en el diseño y coordinación con salud pública y entidades locales</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 coordinación con activos comunitarios y evaluación anual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2,50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1 y 2</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3"/>
      </w:pPr>
      <w:r>
        <w:rPr>
          <w:rFonts w:ascii="Calibri" w:cs="Calibri" w:eastAsia="Calibri" w:hAnsi="Calibri"/>
        </w:rPr>
        <w:t xml:space="preserve">Ficha PC-02. Salud escolar: ergonomía y actividad física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4741"/>
      </w:tblGrid>
      <w:tr>
        <w:trPr>
          <w:cantSplit/>
          <w:tblHeader/>
        </w:trPr>
        <w:tc>
          <w:tcPr>
            <w:tcW w:type="dxa" w:w="43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Alumnado y profesorado de los centros educativos de la zona básica de salud</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y enfermería familiar y comunitaria, con los centros educativos</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en el centro educativo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3"/>
      </w:pPr>
      <w:r>
        <w:rPr>
          <w:rFonts w:ascii="Calibri" w:cs="Calibri" w:eastAsia="Calibri" w:hAnsi="Calibri"/>
        </w:rPr>
        <w:t xml:space="preserve">Ficha PC-03. Salud laboral comunitaria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45"/>
        <w:gridCol w:w="4725"/>
      </w:tblGrid>
      <w:tr>
        <w:trPr>
          <w:cantSplit/>
          <w:tblHeader/>
        </w:trPr>
        <w:tc>
          <w:tcPr>
            <w:tcW w:type="dxa" w:w="434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Colectivos locales con alta carga física en el trabajo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coordinación con los servicios de prevención cuando existan</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de consejo básico sobre carga física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 1 y 2</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1"/>
        <w:pageBreakBefore/>
      </w:pPr>
      <w:r>
        <w:rPr>
          <w:rFonts w:ascii="Calibri" w:cs="Calibri" w:eastAsia="Calibri" w:hAnsi="Calibri"/>
        </w:rPr>
        <w:t xml:space="preserve">Anexo B. Fichas de indicadores</w:t>
      </w:r>
    </w:p>
    <w:p>
      <w:pPr>
        <w:spacing w:after="140"/>
        <w:jc w:val="both"/>
      </w:pPr>
      <w:r>
        <w:rPr>
          <w:rFonts w:ascii="Calibri" w:cs="Calibri" w:eastAsia="Calibri" w:hAnsi="Calibri"/>
        </w:rPr>
        <w:t xml:space="preserve">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w:pPr>
        <w:pStyle w:val="Heading3"/>
      </w:pPr>
      <w:r>
        <w:rPr>
          <w:rFonts w:ascii="Calibri" w:cs="Calibri" w:eastAsia="Calibri" w:hAnsi="Calibri"/>
        </w:rPr>
        <w:t xml:space="preserve">Ficha ID-1. Cartera autonómica de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una cartera de servicios de fisioterapia de AP aprobada por el servicio de salud y ajustada a este modelo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sí o no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en todas las comunidades autónomas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ID-2. Protocolo de acceso directo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6999"/>
      </w:tblGrid>
      <w:tr>
        <w:trPr>
          <w:cantSplit/>
          <w:tblHeader/>
        </w:trPr>
        <w:tc>
          <w:tcPr>
            <w:tcW w:type="dxa" w:w="20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protocolo aprobado de autorreferencia con motivos de consulta parametrizados y criterios de exclusión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sí o no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al cierre de la fase de consolidación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ID-3. Circuito de continuidad con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circuito formalizado de derivación y retorno entre atención hospitalaria y fisioterapia de 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sí o no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Documentos de gestión de las áreas sanitarias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en todas las áreas sanitarias al cierre de la fase de consolidación</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ID-4. Tiempo protegido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2. Cultura de la organización y liderazgo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la jornada de fisioterapia de AP reservado a actividad comunitaria no clínica, docencia, investigación y coordinación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en agenda / horas de jornada)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registradas en agenda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jornada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Igual o superior al valor de tiempo protegido del modelo de dotación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 Cobertura de personal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zonas básicas de salud con al menos un fisioterapeuta de AP asignado presencialmente en la zona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 / zonas básicas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IE-2. Infraestructura de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centros de salud que cuentan con un espacio físico propio para la consulta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propio / centros de salud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físico propio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Inventario de centros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IE-3. Densidad de fisioterapeutas de AP</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a tiempo completo equivalente por 10.000 habitantes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 / población) × 10.000</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que resulte del modelo de dotación de la sección 9 para la fase correspondiente</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IE-4. Agenda e historia clínica propias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fisioterapeutas de AP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historia compartida / fisioterapeutas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Sistemas de información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sistemas de información</w:t>
            </w:r>
          </w:p>
        </w:tc>
      </w:tr>
    </w:tbl>
    <w:p>
      <w:pPr>
        <w:pStyle w:val="Heading3"/>
      </w:pPr>
      <w:r>
        <w:rPr>
          <w:rFonts w:ascii="Calibri" w:cs="Calibri" w:eastAsia="Calibri" w:hAnsi="Calibri"/>
        </w:rPr>
        <w:t xml:space="preserve">Ficha IE-5. Tiempo hasta la primera valoración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entre la solicitud o la derivación y la primera consulta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los días transcurridos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entre solicitud y primera consulta de cada episodio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IE-6. Distribución de la entrada por vía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6485"/>
      </w:tblGrid>
      <w:tr>
        <w:trPr>
          <w:cantSplit/>
          <w:tblHeader/>
        </w:trPr>
        <w:tc>
          <w:tcPr>
            <w:tcW w:type="dxa" w:w="25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4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3. Implicar a los grupos de interés</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iniciados por cada vía de entrada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 / episodios totales) × 100</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descriptivo sin estándar</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IE-7. Derivación tras la primera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otro profesional tras la primera consulta por signos de alarma o por complejidad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 personas con primera consulta)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por motivo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seguridad sin estándar fijo, con revisión de cualquier variación brusca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IE-8. Oferta de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6664"/>
      </w:tblGrid>
      <w:tr>
        <w:trPr>
          <w:cantSplit/>
          <w:tblHeader/>
        </w:trPr>
        <w:tc>
          <w:tcPr>
            <w:tcW w:type="dxa" w:w="24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6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de programas grupales realizadas por 10.000 habitantes y año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 población × 10.000</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de cada programa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ediciones del escenario central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IE-9. Atención domiciliaria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6937"/>
      </w:tblGrid>
      <w:tr>
        <w:trPr>
          <w:cantSplit/>
          <w:tblHeader/>
        </w:trPr>
        <w:tc>
          <w:tcPr>
            <w:tcW w:type="dxa" w:w="21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por fisioterapia de AP en el domicilio por 1.000 habitantes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 / población de 65 años o más × 1.000</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IE-10. Inicio precoz en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en incapacidad temporal por un proceso de la matriz del anexo C que tienen su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los primeros 60 días de baja / personas en incapacidad temporal atendidas)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con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por procesos de la matriz atendidas en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de AP con el registro de la incapacidad temporal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e inspección médica del servicio de salud</w:t>
            </w:r>
          </w:p>
        </w:tc>
      </w:tr>
    </w:tbl>
    <w:p>
      <w:pPr>
        <w:pStyle w:val="Heading3"/>
      </w:pPr>
      <w:r>
        <w:rPr>
          <w:rFonts w:ascii="Calibri" w:cs="Calibri" w:eastAsia="Calibri" w:hAnsi="Calibri"/>
        </w:rPr>
        <w:t xml:space="preserve">Ficha IR-1. Cambio en la intensidad del dolor</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la escala numérica del dolor de 0 a 10 entre la primera consulta y el alta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inicial menos valor al alta)</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IR-2. Cambio en la función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7"/>
        <w:gridCol w:w="7013"/>
      </w:tblGrid>
      <w:tr>
        <w:trPr>
          <w:cantSplit/>
          <w:tblHeader/>
        </w:trPr>
        <w:tc>
          <w:tcPr>
            <w:tcW w:type="dxa" w:w="20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un instrumento de función validado en castellano, elegido por el grupo de trabajo, entre la primera consulta y el alta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al alta menos valor inicial)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IR-3. Altas por consecución de objetivos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altas en las que se registran como alcanzados los objetivos del plan de intervención</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 / altas totales) × 100</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del periodo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IR-4. Reconsulta por el mismo proceso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que vuelven a consultar en AP por el mismo proceso en las doce semanas posteriores al alta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 personas dadas de alta)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en doce semanas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dadas de alta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externa del anexo B</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IR-5. Derivación posterior a pruebas o a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con solicitud de pruebas de imagen o derivación a atención hospitalaria en los seis meses posteriores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o derivación / episodios cerrados)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de imagen o derivación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cerrados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IR-6. Duración de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6826"/>
      </w:tblGrid>
      <w:tr>
        <w:trPr>
          <w:cantSplit/>
          <w:tblHeader/>
        </w:trPr>
        <w:tc>
          <w:tcPr>
            <w:tcW w:type="dxa" w:w="22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8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de incapacidad temporal en los procesos de la matriz del anexo C</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por proceso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incapacidad temporal por episodio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incapacidad temporal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e inspección médica</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Inspección médica del servicio de salud</w:t>
            </w:r>
          </w:p>
        </w:tc>
      </w:tr>
    </w:tbl>
    <w:p>
      <w:pPr>
        <w:pStyle w:val="Heading3"/>
      </w:pPr>
      <w:r>
        <w:rPr>
          <w:rFonts w:ascii="Calibri" w:cs="Calibri" w:eastAsia="Calibri" w:hAnsi="Calibri"/>
        </w:rPr>
        <w:t xml:space="preserve">Ficha IR-7. Uso de analgésicos y antiinflamatorios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de procesos de la matriz con prescripción de analgésicos o antiinflamatorios en los tres meses posteriores al inicio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 / episodios iniciados)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Receta electrónica 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farmacia de atención primaria</w:t>
            </w:r>
          </w:p>
        </w:tc>
      </w:tr>
    </w:tbl>
    <w:p>
      <w:pPr>
        <w:pStyle w:val="Heading3"/>
      </w:pPr>
      <w:r>
        <w:rPr>
          <w:rFonts w:ascii="Calibri" w:cs="Calibri" w:eastAsia="Calibri" w:hAnsi="Calibri"/>
        </w:rPr>
        <w:t xml:space="preserve">Ficha IR-8. Experiencia y satisfacción de las personas atendidas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3"/>
        <w:gridCol w:w="6897"/>
      </w:tblGrid>
      <w:tr>
        <w:trPr>
          <w:cantSplit/>
          <w:tblHeader/>
        </w:trPr>
        <w:tc>
          <w:tcPr>
            <w:tcW w:type="dxa" w:w="217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6. Percepción de los grupos de interés</w:t>
            </w:r>
          </w:p>
        </w:tc>
      </w:tr>
      <w:tr>
        <w:trPr>
          <w:cantSplit/>
          <w:tblHeader w:val="false"/>
        </w:trPr>
        <w:tc>
          <w:tcPr>
            <w:tcW w:type="dxa" w:w="21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Puntuación media en un cuestionario común de experiencia y satisfacción tras el alta (PREM)</w:t>
            </w:r>
          </w:p>
        </w:tc>
      </w:tr>
      <w:tr>
        <w:trPr>
          <w:cantSplit/>
          <w:tblHeader w:val="false"/>
        </w:trPr>
        <w:tc>
          <w:tcPr>
            <w:tcW w:type="dxa" w:w="21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la puntuación</w:t>
            </w:r>
          </w:p>
        </w:tc>
      </w:tr>
      <w:tr>
        <w:trPr>
          <w:cantSplit/>
          <w:tblHeader w:val="false"/>
        </w:trPr>
        <w:tc>
          <w:tcPr>
            <w:tcW w:type="dxa" w:w="21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puntuaciones</w:t>
            </w:r>
          </w:p>
        </w:tc>
      </w:tr>
      <w:tr>
        <w:trPr>
          <w:cantSplit/>
          <w:tblHeader w:val="false"/>
        </w:trPr>
        <w:tc>
          <w:tcPr>
            <w:tcW w:type="dxa" w:w="21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Encuestas respondidas</w:t>
            </w:r>
          </w:p>
        </w:tc>
      </w:tr>
      <w:tr>
        <w:trPr>
          <w:cantSplit/>
          <w:tblHeader w:val="false"/>
        </w:trPr>
        <w:tc>
          <w:tcPr>
            <w:tcW w:type="dxa" w:w="21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 común del servicio de salud</w:t>
            </w:r>
          </w:p>
        </w:tc>
      </w:tr>
      <w:tr>
        <w:trPr>
          <w:cantSplit/>
          <w:tblHeader w:val="false"/>
        </w:trPr>
        <w:tc>
          <w:tcPr>
            <w:tcW w:type="dxa" w:w="21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IR-9. Equidad territorial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entre zonas rurales y urbanas en cobertura de personal y en tiempo hasta la primera valoración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de IE-1 y de IE-5 entre zonas rurales y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rurales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 y 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Reducción de la diferencia en cada fase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IR-10. Consultas de medicina de familia por procesos musculoesqueléticos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aparato locomotor por 1.000 habitantes y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con código del capítulo L de la CIAP-2 / población × 1.000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capítulo 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tendencia sin estándar, porque el efecto esperado no está garantizado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IR-11. Demora en rehabilitación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del circuito de continuidad asistencial, no del dimensionamiento de AP: mediana de días de espera para la primera consulta de rehabilitación hospitalaria en las áreas con circuito formalizado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espera por paciente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Pacientes con primera consulta de rehabilitación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listas de espera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seguimiento sin estándar</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IR-12. Adecuación de la radiografía simple solicitada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Solo si se aprueba la habilitación de la sección 7.4: porcentaje de radiografías solicitadas por fisioterapia de AP que cumplen la regla de decisión del protocolo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 solicitudes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con la regla de decisión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de radiografía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Auditoría de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fijado en el protocolo consensuado con radiodiagnóstico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y servicio de radiodiagnóstico</w:t>
            </w:r>
          </w:p>
        </w:tc>
      </w:tr>
    </w:tbl>
    <w:p>
      <w:pPr>
        <w:pStyle w:val="Heading3"/>
      </w:pPr>
      <w:r>
        <w:rPr>
          <w:rFonts w:ascii="Calibri" w:cs="Calibri" w:eastAsia="Calibri" w:hAnsi="Calibri"/>
        </w:rPr>
        <w:t xml:space="preserve">Ficha IR-13. Adecuación de las derivaciones de medicina de familia a traumatología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traumatología por medicina de familia tras una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con indicación quirúrgica o de técnica hospitalaria / derivaciones a traumatología tras valoración de fisioterapia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compartida de AP y de atención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internacional de la sección 4.4</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Comisión de continuidad asistencial del área sanitaria</w:t>
            </w:r>
          </w:p>
        </w:tc>
      </w:tr>
    </w:tbl>
    <w:p>
      <w:pPr>
        <w:pStyle w:val="Heading3"/>
      </w:pPr>
      <w:r>
        <w:rPr>
          <w:rFonts w:ascii="Calibri" w:cs="Calibri" w:eastAsia="Calibri" w:hAnsi="Calibri"/>
        </w:rPr>
        <w:t xml:space="preserve">Ficha IR-14. Seguridad clínica del acceso directo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Incidentes de seguridad y patologías graves no detectadas en la primera consulta de fisioterapia de las personas atendidas por autorreferencia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(Incidentes y patologías graves no detectadas / primeras consultas por autorreferencia) × 1.000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Incidentes notificados y patologías graves diagnosticadas en los tres meses siguientes a una primera consulta sin derivación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Primeras consultas por autorreferencia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notificación de incidentes y auditoría de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seguridad sin estándar numérico, con revisión de cada caso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y seguridad del paciente del servicio de salud</w:t>
            </w:r>
          </w:p>
        </w:tc>
      </w:tr>
    </w:tbl>
    <w:p>
      <w:pPr>
        <w:pStyle w:val="Heading1"/>
        <w:pageBreakBefore/>
      </w:pPr>
      <w:r>
        <w:rPr>
          <w:rFonts w:ascii="Calibri" w:cs="Calibri" w:eastAsia="Calibri" w:hAnsi="Calibri"/>
        </w:rPr>
        <w:t xml:space="preserve">Anexo C. Matriz de coherencia de procesos, vías y condiciones</w:t>
      </w:r>
    </w:p>
    <w:p>
      <w:pPr>
        <w:spacing w:after="140"/>
        <w:jc w:val="both"/>
      </w:pPr>
      <w:r>
        <w:rPr>
          <w:rFonts w:ascii="Calibri" w:cs="Calibri" w:eastAsia="Calibri" w:hAnsi="Calibri"/>
        </w:rPr>
        <w:t xml:space="preserve">Este anexo es la única fuente de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w:pPr>
        <w:spacing w:after="140"/>
        <w:jc w:val="both"/>
      </w:pPr>
      <w:r>
        <w:rPr>
          <w:rFonts w:ascii="Calibri" w:cs="Calibri" w:eastAsia="Calibri" w:hAnsi="Calibri"/>
        </w:rPr>
        <w:t xml:space="preserve">Se aplican tres reglas transversales a todas las filas:</w:t>
      </w:r>
    </w:p>
    <w:p>
      <w:pPr>
        <w:pStyle w:val="ListParagraph"/>
        <w:numPr>
          <w:ilvl w:val="0"/>
          <w:numId w:val="3"/>
        </w:numPr>
        <w:spacing w:after="60"/>
      </w:pPr>
      <w:r>
        <w:rPr>
          <w:rFonts w:ascii="Calibri" w:cs="Calibri" w:eastAsia="Calibri" w:hAnsi="Calibri"/>
        </w:rPr>
        <w:t xml:space="preserve">El cribado clínico de signos de alarma lo realiza el fisioterapeuta en la primera consulta. No es una condición de acceso.</w:t>
      </w:r>
    </w:p>
    <w:p>
      <w:pPr>
        <w:pStyle w:val="ListParagraph"/>
        <w:numPr>
          <w:ilvl w:val="0"/>
          <w:numId w:val="3"/>
        </w:numPr>
        <w:spacing w:after="60"/>
      </w:pPr>
      <w:r>
        <w:rPr>
          <w:rFonts w:ascii="Calibri" w:cs="Calibri" w:eastAsia="Calibri" w:hAnsi="Calibri"/>
        </w:rPr>
        <w:t xml:space="preserve">El acceso directo se limita a personas adultas.</w:t>
      </w:r>
    </w:p>
    <w:p>
      <w:pPr>
        <w:pStyle w:val="ListParagraph"/>
        <w:numPr>
          <w:ilvl w:val="0"/>
          <w:numId w:val="3"/>
        </w:numPr>
        <w:spacing w:after="60"/>
      </w:pPr>
      <w:r>
        <w:rPr>
          <w:rFonts w:ascii="Calibri" w:cs="Calibri" w:eastAsia="Calibri" w:hAnsi="Calibri"/>
        </w:rPr>
        <w:t xml:space="preserve">Una exclusión del acceso directo no impide la atención en fisioterapia de AP por otra vía.</w:t>
      </w:r>
    </w:p>
    <w:p>
      <w:pPr>
        <w:keepNext/>
        <w:spacing w:after="80" w:before="200"/>
      </w:pPr>
      <w:r>
        <w:rPr>
          <w:rFonts w:ascii="Calibri" w:cs="Calibri" w:eastAsia="Calibri" w:hAnsi="Calibri"/>
          <w:b/>
          <w:bCs/>
          <w:color w:val="0096B1"/>
          <w:sz w:val="19"/>
          <w:szCs w:val="19"/>
        </w:rPr>
        <w:t xml:space="preserve">Tabla C.1. Matriz de coherencia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076"/>
        <w:gridCol w:w="794"/>
        <w:gridCol w:w="1950"/>
        <w:gridCol w:w="750"/>
        <w:gridCol w:w="750"/>
        <w:gridCol w:w="125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20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Proceso o situación</w:t>
            </w:r>
          </w:p>
        </w:tc>
        <w:tc>
          <w:tcPr>
            <w:tcW w:type="dxa" w:w="7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Condición</w:t>
            </w:r>
          </w:p>
        </w:tc>
        <w:tc>
          <w:tcPr>
            <w:tcW w:type="dxa" w:w="19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Vías</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Nivel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2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Artralgias vertebrales mecánicas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déficit neurológico progresivo referido por la persona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Hombro doloroso no traumático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leve o moderada de rodilla, cadera o mano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Esguince de tobillo leve o moderado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persona puede cargar su peso y caminar tres o cuatro pasos, aunque sea con dificultad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Fascitis plantar</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previo ni signos sistémicos referidos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Epicondilalgia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Recidiva de un proceso diagnosticado previamente por su médico de familia y comunitaria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no complejo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sin descompensación de la comorbilidad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de caídas y fragilidad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Cribado de fragilidad positivo realizado por enfermería familiar y comunitaria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 y 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de EPOC en fase estable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y comunitaria, Enfermería familiar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Pérdida funcional leve o moderada tras el alta hospitalaria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musculoesquelético leve o moderado que no requiere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Seguimiento funcional comunitario de la fragilidad o del riesgo de caídas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Continuidad tras la fase de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Informe de alta de rehabilitación con objetivos de continuidad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desde rehabilitación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inmovilidad o barreras funcionales en el domicilio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previa de necesidades en el domicilio</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Trabajo social sanitario, 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Embarazo, posparto o disfunción de suelo pélvico de baja complejidad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incluido en la cartera autonómica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Matrona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pediátrico incluido en la cartera autonómica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Oferta pediátrica definida en la cartera autonómica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Traumatismo grave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Déficit neurológico progresivo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no mecánico o con signos sistémicos</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Postquirúrgico de cualquier complejidad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Menor de edad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Patología laboral o por accidente de tráfico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severa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elaboración propia. Las filas de tipo «Acceso directo» admiten también la derivación por las vías que se indican.</w:t>
      </w:r>
    </w:p>
    <w:p>
      <w:pPr>
        <w:pStyle w:val="Heading1"/>
        <w:pageBreakBefore/>
      </w:pPr>
      <w:r>
        <w:rPr>
          <w:rFonts w:ascii="Calibri" w:cs="Calibri" w:eastAsia="Calibri" w:hAnsi="Calibri"/>
        </w:rPr>
        <w:t xml:space="preserve">Anexo D. Glosario y terminología normalizada</w:t>
      </w:r>
    </w:p>
    <w:p>
      <w:pPr>
        <w:spacing w:after="140"/>
        <w:jc w:val="both"/>
      </w:pPr>
      <w:r>
        <w:rPr>
          <w:rFonts w:ascii="Calibri" w:cs="Calibri" w:eastAsia="Calibri" w:hAnsi="Calibri"/>
        </w:rPr>
        <w:t xml:space="preserve">Este anexo define los términos que el documento usa siempre con el mismo sentido. La segunda columna recoge los términos que el documento ha sustituido y que no deben usarse.</w:t>
      </w:r>
    </w:p>
    <w:p>
      <w:pPr>
        <w:keepNext/>
        <w:spacing w:after="80" w:before="200"/>
      </w:pPr>
      <w:r>
        <w:rPr>
          <w:rFonts w:ascii="Calibri" w:cs="Calibri" w:eastAsia="Calibri" w:hAnsi="Calibri"/>
          <w:b/>
          <w:bCs/>
          <w:color w:val="0096B1"/>
          <w:sz w:val="19"/>
          <w:szCs w:val="19"/>
        </w:rPr>
        <w:t xml:space="preserve">Tabla D.1. Glosario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4"/>
        <w:gridCol w:w="2598"/>
        <w:gridCol w:w="4068"/>
      </w:tblGrid>
      <w:tr>
        <w:trPr>
          <w:cantSplit/>
          <w:tblHeader/>
        </w:trPr>
        <w:tc>
          <w:tcPr>
            <w:tcW w:type="dxa" w:w="240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Término adoptado</w:t>
            </w:r>
          </w:p>
        </w:tc>
        <w:tc>
          <w:tcPr>
            <w:tcW w:type="dxa" w:w="259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Sustituye a</w:t>
            </w:r>
          </w:p>
        </w:tc>
        <w:tc>
          <w:tcPr>
            <w:tcW w:type="dxa" w:w="40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Lumbalgia mecánica y cervicalgia mecánica</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de la columna vertebral de origen mecánico, sin signos de alarma ni déficit neurológico progresivo</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o acceso directo del ciudadano</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Autocita</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cita con fisioterapia sin derivación previa de otro profesional, limitada a los procesos protocolizados</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 y triaje administrativo</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que realiza el fisioterapeuta en la primera consulta para detectar signos de alarma y estratificar el proceso</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 directa</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usado para la derivación entre profesionales</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Remisión a fisioterapia de AP por un profesional del equipo de AP, sin paso previo por medicina física y rehabilitación. No equivale a la autorreferencia</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crónico</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que se mantiene más allá del tiempo habitual de recuperación. Se admite «dolor crónico» solo en nombres propios y citas literales</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Gestión de la demanda con motivos parametrizados</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administrativo-clínico</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por el que el personal administrativo asigna cita según una lista de motivos definida por los clínicos, sin valoración clínica</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virtual</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entre profesionales sin presencia de la persona atendida. En Madrid se denomina e-consulta</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 comunitario</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Actuación sobre la población o sobre los activos comunitarios, sin un proceso clínico individual</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grupal</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clínica sobre un grupo de personas con un proceso definido</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MFyC</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Especialidad médica del equipo de atención primaria. La sigla solo se usa en tablas</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abordable en AP</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Objetivos funcionales abordables en AP</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de salud que, en su estado actual, se puede atender con los recursos de fisioterapia de AP y es compatible con los objetivos del primer nivel: educación, automanejo, inclusión en la comunidad y retorno a las actividades diarias</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previamente diagnosticado</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musculoesquelético recurrente</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Reaparición de un proceso que el médico de familia ya diagnosticó y registró</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compartidas</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complejos entre medicina, enfermería y fisioterapia</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Signos de alarma</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Banderas rojas</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Síntomas o signos que sugieren una patología grave y exigen derivación médica</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Rendimiento quirúrgico</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al cirujano que terminan con indicación de cirugía. Se admite «rendimiento quirúrgico» en las citas de estudios canadienses</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musculoesquelético</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ortopédico</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por un fisioterapeuta de práctica avanzada de personas ya derivadas a traumatología o a columna, para decidir si necesitan ver al cirujano. No forma parte de esta propuesta</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Atención al Usuario</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Admisión</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administrativa del centro de salud que asigna las citas. En la autorreferencia aplica la lista de motivos parametrizados</w:t>
            </w:r>
          </w:p>
        </w:tc>
      </w:tr>
      <w:tr>
        <w:trPr>
          <w:cantSplit/>
          <w:tblHeader w:val="false"/>
        </w:trPr>
        <w:tc>
          <w:tcPr>
            <w:tcW w:type="dxa" w:w="240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atención específica</w:t>
            </w:r>
          </w:p>
        </w:tc>
        <w:tc>
          <w:tcPr>
            <w:tcW w:type="dxa" w:w="259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apoyo</w:t>
            </w:r>
          </w:p>
        </w:tc>
        <w:tc>
          <w:tcPr>
            <w:tcW w:type="dxa" w:w="4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del centro de salud distintas de medicina y enfermería de familia, como fisioterapia, matronas, trabajo social sanitario y salud bucodental. Denominación de la instrucción madrileña</w:t>
            </w:r>
          </w:p>
        </w:tc>
      </w:tr>
      <w:tr>
        <w:trPr>
          <w:cantSplit/>
          <w:tblHeader w:val="false"/>
        </w:trPr>
        <w:tc>
          <w:tcPr>
            <w:tcW w:type="dxa" w:w="240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hospitalaria</w:t>
            </w:r>
          </w:p>
        </w:tc>
        <w:tc>
          <w:tcPr>
            <w:tcW w:type="dxa" w:w="259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especializada</w:t>
            </w:r>
          </w:p>
        </w:tc>
        <w:tc>
          <w:tcPr>
            <w:tcW w:type="dxa" w:w="4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Nivel asistencial hospitalario. Se conserva «atención especializada» solo en citas literales de normas</w:t>
            </w:r>
          </w:p>
        </w:tc>
      </w:tr>
    </w:tbl>
    <w:p>
      <w:pPr>
        <w:spacing w:after="200" w:before="60"/>
      </w:pPr>
      <w:r>
        <w:rPr>
          <w:rFonts w:ascii="Calibri" w:cs="Calibri" w:eastAsia="Calibri" w:hAnsi="Calibri"/>
          <w:i/>
          <w:iCs/>
          <w:color w:val="8C8C8C"/>
          <w:sz w:val="17"/>
          <w:szCs w:val="17"/>
        </w:rPr>
        <w:t xml:space="preserve">Fuente: elaboración propia.</w:t>
      </w:r>
    </w:p>
    <w:p>
      <w:pPr>
        <w:keepNext/>
        <w:spacing w:after="80" w:before="200"/>
      </w:pPr>
      <w:r>
        <w:rPr>
          <w:rFonts w:ascii="Calibri" w:cs="Calibri" w:eastAsia="Calibri" w:hAnsi="Calibri"/>
          <w:b/>
          <w:bCs/>
          <w:color w:val="0096B1"/>
          <w:sz w:val="19"/>
          <w:szCs w:val="19"/>
        </w:rPr>
        <w:t xml:space="preserve">Tabla D.2. Siglas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8245"/>
      </w:tblGrid>
      <w:tr>
        <w:trPr>
          <w:cantSplit/>
          <w:tblHeader/>
        </w:trPr>
        <w:tc>
          <w:tcPr>
            <w:tcW w:type="dxa" w:w="8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Sigla</w:t>
            </w:r>
          </w:p>
        </w:tc>
        <w:tc>
          <w:tcPr>
            <w:tcW w:type="dxa" w:w="824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Significado</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primaria</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Base de Datos Clínicos de Atención Primaria</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CIAP-2</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Clasificación Internacional de Atención Primaria, segunda edición</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EFQM</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European Foundation for Quality Management</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Enfermedad pulmonar obstructiva crónica</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ETC</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Equivalente a tiempo completo</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OMS</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Organización Mundial de la Salud</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PREM</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Patient-Reported Experience Measure, medida de la experiencia referida por la persona atendida</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PROM</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Patient-Reported Outcome Measure, medida de resultado referida por la persona atendida</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PRTEE</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Patient-Rated Tennis Elbow Evaluation, cuestionario de dolor y función del codo</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SERGAS</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Servizo Galego de Saúde</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SESCAM</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Salud de Castilla-La Mancha</w:t>
            </w:r>
          </w:p>
        </w:tc>
      </w:tr>
      <w:tr>
        <w:trPr>
          <w:cantSplit/>
          <w:tblHeader w:val="false"/>
        </w:trPr>
        <w:tc>
          <w:tcPr>
            <w:tcW w:type="dxa" w:w="8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c>
          <w:tcPr>
            <w:tcW w:type="dxa" w:w="82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Atención Primaria</w:t>
            </w:r>
          </w:p>
        </w:tc>
      </w:tr>
      <w:tr>
        <w:trPr>
          <w:cantSplit/>
          <w:tblHeader w:val="false"/>
        </w:trPr>
        <w:tc>
          <w:tcPr>
            <w:tcW w:type="dxa" w:w="8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SNS</w:t>
            </w:r>
          </w:p>
        </w:tc>
        <w:tc>
          <w:tcPr>
            <w:tcW w:type="dxa" w:w="82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Nacional de Salud</w:t>
            </w:r>
          </w:p>
        </w:tc>
      </w:tr>
    </w:tbl>
    <w:p>
      <w:pPr>
        <w:spacing w:after="200" w:before="60"/>
      </w:pPr>
      <w:r>
        <w:rPr>
          <w:rFonts w:ascii="Calibri" w:cs="Calibri" w:eastAsia="Calibri" w:hAnsi="Calibri"/>
          <w:i/>
          <w:iCs/>
          <w:color w:val="8C8C8C"/>
          <w:sz w:val="17"/>
          <w:szCs w:val="17"/>
        </w:rPr>
        <w:t xml:space="preserve">Fuente: elaboración propia.</w:t>
      </w:r>
    </w:p>
    <w:p>
      <w:pPr>
        <w:pStyle w:val="Heading1"/>
        <w:pageBreakBefore/>
      </w:pPr>
      <w:r>
        <w:rPr>
          <w:rFonts w:ascii="Calibri" w:cs="Calibri" w:eastAsia="Calibri" w:hAnsi="Calibri"/>
        </w:rPr>
        <w:t xml:space="preserve">Anexo E. Tabla de fuentes por cifra</w:t>
      </w:r>
    </w:p>
    <w:p>
      <w:pPr>
        <w:spacing w:after="140"/>
        <w:jc w:val="both"/>
      </w:pPr>
      <w:r>
        <w:rPr>
          <w:rFonts w:ascii="Calibri" w:cs="Calibri" w:eastAsia="Calibri" w:hAnsi="Calibri"/>
        </w:rPr>
        <w:t xml:space="preserve">Este anexo recoge cada cifra del cuerpo del documento con la fuente que la sostiene, el año del dato y su definición. Las cifras que produce el modelo de la sección 9 remiten a ese modelo.</w:t>
      </w:r>
    </w:p>
    <w:p>
      <w:pPr>
        <w:keepNext/>
        <w:spacing w:after="80" w:before="200"/>
      </w:pPr>
      <w:r>
        <w:rPr>
          <w:rFonts w:ascii="Calibri" w:cs="Calibri" w:eastAsia="Calibri" w:hAnsi="Calibri"/>
          <w:b/>
          <w:bCs/>
          <w:color w:val="0096B1"/>
          <w:sz w:val="19"/>
          <w:szCs w:val="19"/>
        </w:rPr>
        <w:t xml:space="preserve">Tabla E.1. Fuentes por cifra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490"/>
        <w:gridCol w:w="750"/>
        <w:gridCol w:w="1199"/>
        <w:gridCol w:w="313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Sección</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Cifra</w:t>
            </w:r>
          </w:p>
        </w:tc>
        <w:tc>
          <w:tcPr>
            <w:tcW w:type="dxa" w:w="249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Qué mide</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w:t>
            </w:r>
          </w:p>
        </w:tc>
        <w:tc>
          <w:tcPr>
            <w:tcW w:type="dxa" w:w="11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 del dato</w:t>
            </w:r>
          </w:p>
        </w:tc>
        <w:tc>
          <w:tcPr>
            <w:tcW w:type="dxa" w:w="31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Definición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51.813.798</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Problemas del aparato locomotor registrados en la BDCAP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Registros de problemas de salud del capítulo L de la CIAP-2, no consultas ni personas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 según el documento de política inglés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Cifra de política sanitaria, «hasta el 30 %», sin medición propia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Estimación citada en el ensayo piloto STEMS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revisadas en un centro urbano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 un centro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21,1 %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consultas musculoesqueléticas en un centro urbano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con presentación musculoesquelética sobre el total revisado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60.000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Trabajadores valorados por el INSS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Valoraciones de incapacidad laboral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31,6 %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columna lumbar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13,5 %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hombro entre los valorados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rodilla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8.417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en la evaluación de un servicio escocés de fisioterapia como alternativa al médico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de pacientes en dos años de servicio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87,3 %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manejados sin salir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60,4 %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solo con automanejo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que solo necesitaron automanejo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78,5 %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sin reconsulta en doce semanas tras una cita de fisioterapia de primer contacto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personas que no volvieron a consultar en atención primaria en doce semanas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159.000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cifra aproximada de la nota oficial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77 %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Consecución de objetivos en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casos con los objetivos fijados alcanzados,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del dolor en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aproximado de casos con reducción del dolor,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 y 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2.418</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atención primaria en el SNS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de fisioterapia de AP registrados en el informe monográfico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84,8 %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hospitales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13.694</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Asturias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10.091</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Cantabria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104.847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Cataluña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12.101</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Extremadura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91.972</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Navarra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de salud del despliegue inicial en Canarias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con servicio de fisioterapia en la primera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la evaluación nacional de la fisioterapia de primer contacto en Inglaterra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primer contacto de la evaluación nacional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426</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Adultos incluidos en el estudio FRONTIER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del estudio FRONTIER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grupo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18,4 %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un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24,7 %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otro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105,5</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para el NHS en el grupo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un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el otro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llegaron a fisioterapia por acceso directo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los pacientes atendidos en el primer año de acceso directo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74,3 %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acudieron a fisioterapia sin derivación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pacientes sin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de la revisión sistemática de Gallotti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2.081</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del metaanálisis de Abuhl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diez 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solicitud de imagen con primer contacto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0,29</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medicación con primer contacto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uno de los brazos del estudio STEMS-2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[114]</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el otro brazo del estudio STEMS-2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[114]</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de la revisión de Fischer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90.401</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de Fischer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incluidos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de la revisión de Fischer y colaboradores que midieron las consultas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con ese resultado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Evaluaciones GRADE con certeza baja o muy baja en la revisión de Fischer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Doce con certeza baja y cinco con certeza muy baja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Evaluaciones GRADE por estudio en la revisión de Fischer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Evaluaciones de certeza realizadas por estudio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 la reducción asociada de consultas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 la reducción asociada de consultas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0,57</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prescripción con acceso directo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 certeza baja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611.000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136,7</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234,4</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215,9</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Rumanía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228</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188</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 habitantes, media mundial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Censo de las organizaciones miembro de World Physiotherapy</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declaran acceso directo pleno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organizaciones que respondieron al censo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declararon acceso directo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organizaciones que respondieron a la encuesta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15.581</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sobre las reglas de Ottawa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[143]</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los estudios combinados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de las reglas de Ottawa para excluir fracturas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[143]</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cercana al 100 %</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10.000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primer contacto que pide la Chartered Society of Physiotherapy</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Reivindicación profesional para Inglaterra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de los años vividos con discapacidad por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1990 a 2015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mundial entre 1990 y 2015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poblacionales incluidos en la revisión de prevalencia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publicados entre 1980 y 2009</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 de los estudios incluidos en la revisión de prevalencia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puntual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al mes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en el seguimiento, límite inferior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al inicio que lo refieren en los seguimientos a 5, 10 o 28 años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1.3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límite superior, y peso de los costes indirectos en el coste del dolor lumbar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25]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y en 2011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recurrencia a 28 años y costes indirectos entre 2002 y 2007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del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«superior al 30 %»</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50 %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cervical que mantienen algún grado de dolor o episodios frecuentes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aproximada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Resultados satisfactorios del tratamiento conservador del síndrome subacromial en dos años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casos, según una revisión narrativa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del dolor persistente moderado o grave en la población adulta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en quince países europeos e Israel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han utilizado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fisioterapia entre las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1.5, 4.3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atendidas por un especialista en dolor; reconsulta hospitalaria tras el alta del equipo galés; casos de columna quirúrgica en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41, 103]</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2016 y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Tres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consideran inadecuado el manejo de su dolor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4.300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3.500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Peso de los costes directos en el coste del dolor lumbar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 a 2007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del coste total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2.825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baja por dolor lumbar en la cohorte de seis países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alemana; conversión quirúrgica de las derivaciones del médico general en Columbia Británica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 102]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 y en 2013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neerlandesa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dos años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incapacidad temporal evitados al año con la rehabilitación multidisciplinar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media frente al tratamiento habitual, redondeada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10.3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baja dentro de los cuales los autores proponen iniciar la rehabilitación multimodal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2018</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Implicación práctica de los autores, no resultado medido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32.070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incluidas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por dolor lumbar en 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que recibieron fisioterapia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uso de fisioterapia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que definen la fisioterapia precoz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Primeros días tras la consulta inicial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2.736</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de coste médico total del dolor lumbar con la fisioterapia precoz</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Dólares por persona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3.867</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incluidos en el estudio laboral de fisioterapia precoz</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2000</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de salud laboral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6.225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de AP a traumatología analizadas en un área de Castilla y León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Volantes de derivación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65,7 %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justificadas por procesos degenerativos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36,5 %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describían alguna exploración física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mencionaban una fisioterapia previa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2.651</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fisioterapeutas de práctica avanzada en una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resueltos de forma independiente por el fisioterapeuta de práctica avanzada en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que necesitaron comentario o revisión quirúrgica en la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2.362</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revisadas del equipo galés liderado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Diciembre de 2011 a noviembre de 2012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entre fisioterapeuta y cirujano en las decisiones de manejo quirúrgico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ponderado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92,5 %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clasificados como columna mecánica en el programa de triaje de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[103]</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que resultaron candidatas a cirugía en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[103]</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Rendimiento quirúrgico del programa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81 %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consideradas adecuadas en la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derivación, no cirugía realizada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1.153</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incluidas en la revisión sobre intensidad de la fisioterapia en 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 de ocho ensayos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67,3 %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no conocían el acceso directo a fisioterapia en una encuesta de Florida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73,4 %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acudirían directamente al fisioterapeuta en una encuesta de Florida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5.3 y 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0,76</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entre el fisioterapeuta de práctica avanzada y el médico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combinado, certeza moderada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incluidos en la revisión sobre educación en neurociencia del dolor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2016</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mínima de las personas prefrágiles del ensayo de prevención de la fragilidad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[134]</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4,9 %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de intervención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[134]</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15,3 %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control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[134]</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vertebral persistente en la cohorte de ejercicio grupal en AP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mínima con el cirujano ortopédico en la revisión de Trøstrup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máxima con el cirujano ortopédico en la revisión de Trøstrup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[107]</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validación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0,96</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Alfa de Cronbach de la versión española del PRTEE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Consistencia interna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Coeficiente de correlación intraclase de la versión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Fiabilidad</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terapia manual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[173]</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1.297</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fisioterapia basada en ejercicio en 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[173]</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1.379</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atención por el médico general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[173]</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568</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Ahorro potencial anual para el sistema de salud madrileño de cuatro actuaciones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 estimación por extrapolación citada en la presentación del informe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55 %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mínima con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con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 106]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 y en 2020</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y valor del estudio de Napier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sin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335</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para la ciudadanía impartidos por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de educación para la salud</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224</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dirigidos a prevenir la fragilidad y las caídas en personas mayores en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Parte de los 335 talleres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Ecógrafos en los centros de salud de la Comunidad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[141]</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Equipos fijos de consola y ultraportátiles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246</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salud con el sistema XIDE a finales de 2022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salud del SERGAS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gallega cubierta por el sistema XIDE a finales de 2022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población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media de las citas forzadas en las agendas de medicina de familia con XIDE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media atribuida por el informe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218</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estimados en la AP de Madrid en 2021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[167]</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Estimación a partir de una encuesta a colegiados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50</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AP de Madrid formados en dolor musculoesquelético en 2025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[142]</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«Más de 50» alumnos en dos cursos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los fisioterapeutas de AP de Madrid en activo que representan esos alumnos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[142]</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aproximada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947</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en las plantillas orgánicas del Servicio Madrileño de Salud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691</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del Servicio Madrileño de Salud en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[166]</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256</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del Servicio Madrileño de Salud en AP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[166]</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65 a 79 años con algún grado de dependencia para las actividades básicas de la vida diaria en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actividades básicas de la vida diaria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10,2 %</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mayores de 65 años con una caída que requirió asistencia sanitaria en el último año en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Caídas con asistencia sanitaria en el último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32,2 %</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65 a 79 años que viven con miedo a caerse en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Miedo a caerse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inicial de los grupos de edad que usa el informe de salud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[138]</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79</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final del grupo de 65 a 79 años del informe de salud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[138]</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23.871</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bajo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7.480</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central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2.035</w:t>
            </w:r>
          </w:p>
        </w:tc>
        <w:tc>
          <w:tcPr>
            <w:tcW w:type="dxa" w:w="249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alto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4.426</w:t>
            </w:r>
          </w:p>
        </w:tc>
        <w:tc>
          <w:tcPr>
            <w:tcW w:type="dxa" w:w="249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la zona rural dispersa, envejecida y con alta dependencia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con el ajuste territorial de la tabla 9.5</w:t>
            </w:r>
          </w:p>
        </w:tc>
      </w:tr>
    </w:tbl>
    <w:p>
      <w:pPr>
        <w:spacing w:after="200" w:before="60"/>
      </w:pPr>
      <w:r>
        <w:rPr>
          <w:rFonts w:ascii="Calibri" w:cs="Calibri" w:eastAsia="Calibri" w:hAnsi="Calibri"/>
          <w:i/>
          <w:iCs/>
          <w:color w:val="8C8C8C"/>
          <w:sz w:val="17"/>
          <w:szCs w:val="17"/>
        </w:rPr>
        <w:t xml:space="preserve">Fuente: elaboración propia a partir de las referencias del documento.</w:t>
      </w:r>
    </w:p>
    <w:p>
      <w:pPr>
        <w:pStyle w:val="Heading1"/>
        <w:pageBreakBefore/>
      </w:pPr>
      <w:r>
        <w:rPr>
          <w:rFonts w:ascii="Calibri" w:cs="Calibri" w:eastAsia="Calibri" w:hAnsi="Calibri"/>
        </w:rPr>
        <w:t xml:space="preserve">Anexo F. Metodología de selección y verificación de fuentes</w:t>
      </w:r>
    </w:p>
    <w:p>
      <w:pPr>
        <w:spacing w:after="140"/>
        <w:jc w:val="both"/>
      </w:pPr>
      <w:r>
        <w:rPr>
          <w:rFonts w:ascii="Calibri" w:cs="Calibri" w:eastAsia="Calibri" w:hAnsi="Calibri"/>
        </w:rPr>
        <w:t xml:space="preserve">Este anexo describe cómo se seleccionaron las fuentes del documento y cómo se comprobó cada tipo de fuente. Un documento dirigido al Ministerio de Sanidad debe permitir trazar cada dato hasta su origen.</w:t>
      </w:r>
    </w:p>
    <w:p>
      <w:pPr>
        <w:pStyle w:val="Heading2"/>
      </w:pPr>
      <w:r>
        <w:rPr>
          <w:rFonts w:ascii="Calibri" w:cs="Calibri" w:eastAsia="Calibri" w:hAnsi="Calibri"/>
        </w:rPr>
        <w:t xml:space="preserve">F.1. Criterios</w:t>
      </w:r>
    </w:p>
    <w:p>
      <w:pPr>
        <w:spacing w:after="140"/>
        <w:jc w:val="both"/>
      </w:pPr>
      <w:r>
        <w:rPr>
          <w:rFonts w:ascii="Calibri" w:cs="Calibri" w:eastAsia="Calibri" w:hAnsi="Calibri"/>
        </w:rPr>
        <w:t xml:space="preserve">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w:pPr>
        <w:spacing w:after="140"/>
        <w:jc w:val="both"/>
      </w:pPr>
      <w:r>
        <w:rPr>
          <w:rFonts w:ascii="Calibri" w:cs="Calibri" w:eastAsia="Calibri" w:hAnsi="Calibri"/>
        </w:rPr>
        <w:t xml:space="preserve">Cuando un documento de síntesis cita un estudio, este documento cita el estudio original. Esa regla se aplica también a los informes profesionales que se resumen en la sección 3.4.</w:t>
      </w:r>
    </w:p>
    <w:p>
      <w:pPr>
        <w:pStyle w:val="Heading2"/>
      </w:pPr>
      <w:r>
        <w:rPr>
          <w:rFonts w:ascii="Calibri" w:cs="Calibri" w:eastAsia="Calibri" w:hAnsi="Calibri"/>
        </w:rPr>
        <w:t xml:space="preserve">F.2. Procedimiento de verificación</w:t>
      </w:r>
    </w:p>
    <w:p>
      <w:pPr>
        <w:spacing w:after="140"/>
        <w:jc w:val="both"/>
      </w:pPr>
      <w:r>
        <w:rPr>
          <w:rFonts w:ascii="Calibri" w:cs="Calibri" w:eastAsia="Calibri" w:hAnsi="Calibri"/>
        </w:rPr>
        <w:t xml:space="preserve">Cada tipo de fuente se comprobó de una forma distinta:</w:t>
      </w:r>
    </w:p>
    <w:p>
      <w:pPr>
        <w:pStyle w:val="ListParagraph"/>
        <w:numPr>
          <w:ilvl w:val="0"/>
          <w:numId w:val="3"/>
        </w:numPr>
        <w:spacing w:after="60"/>
      </w:pPr>
      <w:r>
        <w:rPr>
          <w:rFonts w:ascii="Calibri" w:cs="Calibri" w:eastAsia="Calibri" w:hAnsi="Calibri"/>
          <w:b/>
          <w:bCs/>
          <w:color w:val="00768E"/>
        </w:rPr>
        <w:t xml:space="preserve">Artículos científicos.</w:t>
      </w:r>
      <w:r>
        <w:rPr>
          <w:rFonts w:ascii="Calibri" w:cs="Calibri" w:eastAsia="Calibri" w:hAnsi="Calibri"/>
        </w:rPr>
        <w:t xml:space="preserve"> El título, la autoría, la revista, el año y el resumen se contrastaron con el registro de PubMed. Cada cita incluye su identificador de PubMed y su DOI.</w:t>
      </w:r>
    </w:p>
    <w:p>
      <w:pPr>
        <w:pStyle w:val="ListParagraph"/>
        <w:numPr>
          <w:ilvl w:val="0"/>
          <w:numId w:val="3"/>
        </w:numPr>
        <w:spacing w:after="60"/>
      </w:pPr>
      <w:r>
        <w:rPr>
          <w:rFonts w:ascii="Calibri" w:cs="Calibri" w:eastAsia="Calibri" w:hAnsi="Calibri"/>
          <w:b/>
          <w:bCs/>
          <w:color w:val="00768E"/>
        </w:rPr>
        <w:t xml:space="preserve">Normas, planes y estadísticas oficiales.</w:t>
      </w:r>
      <w:r>
        <w:rPr>
          <w:rFonts w:ascii="Calibri" w:cs="Calibri" w:eastAsia="Calibri" w:hAnsi="Calibri"/>
        </w:rPr>
        <w:t xml:space="preserve"> Se citan por su publicación oficial, con la dirección de consulta en la lista de referencias.</w:t>
      </w:r>
    </w:p>
    <w:p>
      <w:pPr>
        <w:pStyle w:val="ListParagraph"/>
        <w:numPr>
          <w:ilvl w:val="0"/>
          <w:numId w:val="3"/>
        </w:numPr>
        <w:spacing w:after="60"/>
      </w:pPr>
      <w:r>
        <w:rPr>
          <w:rFonts w:ascii="Calibri" w:cs="Calibri" w:eastAsia="Calibri" w:hAnsi="Calibri"/>
          <w:b/>
          <w:bCs/>
          <w:color w:val="00768E"/>
        </w:rPr>
        <w:t xml:space="preserve">Documentos autonómicos.</w:t>
      </w:r>
      <w:r>
        <w:rPr>
          <w:rFonts w:ascii="Calibri" w:cs="Calibri" w:eastAsia="Calibri" w:hAnsi="Calibri"/>
        </w:rPr>
        <w:t xml:space="preserve"> Se citan por el documento del servicio de salud o de la consejería. Cuando solo existe una nota oficial o una noticia, el texto lo indica.</w:t>
      </w:r>
    </w:p>
    <w:p>
      <w:pPr>
        <w:pStyle w:val="ListParagraph"/>
        <w:numPr>
          <w:ilvl w:val="0"/>
          <w:numId w:val="3"/>
        </w:numPr>
        <w:spacing w:after="60"/>
      </w:pPr>
      <w:r>
        <w:rPr>
          <w:rFonts w:ascii="Calibri" w:cs="Calibri" w:eastAsia="Calibri" w:hAnsi="Calibri"/>
          <w:b/>
          <w:bCs/>
          <w:color w:val="00768E"/>
        </w:rPr>
        <w:t xml:space="preserve">Documentos institucionales y profesionales no publicados.</w:t>
      </w:r>
      <w:r>
        <w:rPr>
          <w:rFonts w:ascii="Calibri" w:cs="Calibri" w:eastAsia="Calibri" w:hAnsi="Calibri"/>
        </w:rPr>
        <w:t xml:space="preserve"> Se consultaron completos y se identifican como tales en la lista de referencias.</w:t>
      </w:r>
    </w:p>
    <w:p>
      <w:pPr>
        <w:pStyle w:val="ListParagraph"/>
        <w:numPr>
          <w:ilvl w:val="0"/>
          <w:numId w:val="3"/>
        </w:numPr>
        <w:spacing w:after="60"/>
      </w:pPr>
      <w:r>
        <w:rPr>
          <w:rFonts w:ascii="Calibri" w:cs="Calibri" w:eastAsia="Calibri" w:hAnsi="Calibri"/>
          <w:b/>
          <w:bCs/>
          <w:color w:val="00768E"/>
        </w:rPr>
        <w:t xml:space="preserve">Cifras.</w:t>
      </w:r>
      <w:r>
        <w:rPr>
          <w:rFonts w:ascii="Calibri" w:cs="Calibri" w:eastAsia="Calibri" w:hAnsi="Calibri"/>
        </w:rPr>
        <w:t xml:space="preserve"> Cada cifra del cuerpo figura en el anexo E con su fuente, el año del dato y su definición. Las cifras que produce el modelo de la sección 9 remiten a ese modelo.</w:t>
      </w:r>
    </w:p>
    <w:p>
      <w:pPr>
        <w:pStyle w:val="Heading1"/>
        <w:pageBreakBefore/>
      </w:pPr>
      <w:r>
        <w:rPr>
          <w:rFonts w:ascii="Calibri" w:cs="Calibri" w:eastAsia="Calibri" w:hAnsi="Calibri"/>
        </w:rPr>
        <w:t xml:space="preserve">Referencias</w:t>
      </w:r>
    </w:p>
    <w:p>
      <w:pPr>
        <w:tabs>
          <w:tab w:val="left" w:pos="567"/>
        </w:tabs>
        <w:spacing w:after="80"/>
        <w:ind w:left="567" w:hanging="567"/>
      </w:pPr>
      <w:r>
        <w:rPr>
          <w:rFonts w:ascii="Calibri" w:cs="Calibri" w:eastAsia="Calibri" w:hAnsi="Calibri"/>
          <w:sz w:val="18"/>
          <w:szCs w:val="18"/>
        </w:rPr>
        <w:t xml:space="preserve">1.	</w:t>
      </w:r>
      <w:r>
        <w:rPr>
          <w:rFonts w:ascii="Calibri" w:cs="Calibri" w:eastAsia="Calibri" w:hAnsi="Calibri"/>
          <w:sz w:val="18"/>
          <w:szCs w:val="18"/>
        </w:rPr>
        <w:t xml:space="preserve">Ley 44/2003, de 21 de noviembre, de ordenación de las profesiones sanitarias. Boletín Oficial del Estado, BOE-A-2003-21340. Texto consolidado. Disponible en: </w:t>
      </w:r>
      <w:hyperlink w:history="1" r:id="rIdmeypvjjmfdkz9bpxwvntk">
        <w:r>
          <w:rPr>
            <w:rStyle w:val="Hyperlink"/>
            <w:rFonts w:ascii="Calibri" w:cs="Calibri" w:eastAsia="Calibri" w:hAnsi="Calibri"/>
            <w:sz w:val="18"/>
            <w:szCs w:val="18"/>
          </w:rPr>
          <w:t xml:space="preserve">https://www.boe.es/buscar/act.php?id=BOE-A-2003-21340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	</w:t>
      </w:r>
      <w:r>
        <w:rPr>
          <w:rFonts w:ascii="Calibri" w:cs="Calibri" w:eastAsia="Calibri" w:hAnsi="Calibri"/>
          <w:sz w:val="18"/>
          <w:szCs w:val="18"/>
        </w:rPr>
        <w:t xml:space="preserve">World Physiotherapy. Policy statement: Direct access and patient/client self-referral to physiotherapy. Londres: World Physiotherapy; 2023. Disponible en: </w:t>
      </w:r>
      <w:hyperlink w:history="1" r:id="rIdkb-tt6schtssuwklwzx82">
        <w:r>
          <w:rPr>
            <w:rStyle w:val="Hyperlink"/>
            <w:rFonts w:ascii="Calibri" w:cs="Calibri" w:eastAsia="Calibri" w:hAnsi="Calibri"/>
            <w:sz w:val="18"/>
            <w:szCs w:val="18"/>
          </w:rPr>
          <w:t xml:space="preserve">https://world.physio/sites/default/files/2024-01/PS-2023-Direct-access.pdf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	</w:t>
      </w:r>
      <w:r>
        <w:rPr>
          <w:rFonts w:ascii="Calibri" w:cs="Calibri" w:eastAsia="Calibri" w:hAnsi="Calibri"/>
          <w:sz w:val="18"/>
          <w:szCs w:val="18"/>
        </w:rPr>
        <w:t xml:space="preserve">World Physiotherapy. Policy statement: Description of physiotherapy. Londres: World Physiotherapy; 2023. Disponible en: </w:t>
      </w:r>
      <w:hyperlink w:history="1" r:id="rId2dcjcbvmpkdxin7joxuag">
        <w:r>
          <w:rPr>
            <w:rStyle w:val="Hyperlink"/>
            <w:rFonts w:ascii="Calibri" w:cs="Calibri" w:eastAsia="Calibri" w:hAnsi="Calibri"/>
            <w:sz w:val="18"/>
            <w:szCs w:val="18"/>
          </w:rPr>
          <w:t xml:space="preserve">https://world.physio/sites/default/files/2024-01/PS-2023-Description.pdf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	</w:t>
      </w:r>
      <w:r>
        <w:rPr>
          <w:rFonts w:ascii="Calibri" w:cs="Calibri" w:eastAsia="Calibri" w:hAnsi="Calibri"/>
          <w:sz w:val="18"/>
          <w:szCs w:val="18"/>
        </w:rPr>
        <w:t xml:space="preserve">World Health Organization. Rehabilitation in health systems. Ginebra: WHO; 2017. Disponible en: </w:t>
      </w:r>
      <w:hyperlink w:history="1" r:id="rIdxb3ev-npl4z9if5eunsix">
        <w:r>
          <w:rPr>
            <w:rStyle w:val="Hyperlink"/>
            <w:rFonts w:ascii="Calibri" w:cs="Calibri" w:eastAsia="Calibri" w:hAnsi="Calibri"/>
            <w:sz w:val="18"/>
            <w:szCs w:val="18"/>
          </w:rPr>
          <w:t xml:space="preserve">https://iris.who.int/handle/10665/254506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	</w:t>
      </w:r>
      <w:r>
        <w:rPr>
          <w:rFonts w:ascii="Calibri" w:cs="Calibri" w:eastAsia="Calibri" w:hAnsi="Calibri"/>
          <w:sz w:val="18"/>
          <w:szCs w:val="18"/>
        </w:rPr>
        <w:t xml:space="preserve">World Health Organization. Rehabilitation 2030: a call for action. Ginebra: WHO; 2017. Disponible en: </w:t>
      </w:r>
      <w:hyperlink w:history="1" r:id="rIdckyrgstibku8pwfs37wkj">
        <w:r>
          <w:rPr>
            <w:rStyle w:val="Hyperlink"/>
            <w:rFonts w:ascii="Calibri" w:cs="Calibri" w:eastAsia="Calibri" w:hAnsi="Calibri"/>
            <w:sz w:val="18"/>
            <w:szCs w:val="18"/>
          </w:rPr>
          <w:t xml:space="preserve">https://www.who.int/initiatives/rehabilitation-2030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	</w:t>
      </w:r>
      <w:r>
        <w:rPr>
          <w:rFonts w:ascii="Calibri" w:cs="Calibri" w:eastAsia="Calibri" w:hAnsi="Calibri"/>
          <w:sz w:val="18"/>
          <w:szCs w:val="18"/>
        </w:rPr>
        <w:t xml:space="preserve">Asamblea Mundial de la Salud. Resolución WHA76.6. Strengthening rehabilitation in health systems. Ginebra: Organización Mundial de la Salud; 2023. Disponible en: </w:t>
      </w:r>
      <w:hyperlink w:history="1" r:id="rIdti_jw0n1qgwhdayxheifx">
        <w:r>
          <w:rPr>
            <w:rStyle w:val="Hyperlink"/>
            <w:rFonts w:ascii="Calibri" w:cs="Calibri" w:eastAsia="Calibri" w:hAnsi="Calibri"/>
            <w:sz w:val="18"/>
            <w:szCs w:val="18"/>
          </w:rPr>
          <w:t xml:space="preserve">https://apps.who.int/gb/ebwha/pdf_files/WHA76/A76_R6-en.pdf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	</w:t>
      </w:r>
      <w:r>
        <w:rPr>
          <w:rFonts w:ascii="Calibri" w:cs="Calibri" w:eastAsia="Calibri" w:hAnsi="Calibri"/>
          <w:sz w:val="18"/>
          <w:szCs w:val="18"/>
        </w:rPr>
        <w:t xml:space="preserve">World Health Organization. Package of interventions for rehabilitation. Ginebra: WHO; 2023. Disponible en: </w:t>
      </w:r>
      <w:hyperlink w:history="1" r:id="rIdxh8e51pfdb7klavj9irdt">
        <w:r>
          <w:rPr>
            <w:rStyle w:val="Hyperlink"/>
            <w:rFonts w:ascii="Calibri" w:cs="Calibri" w:eastAsia="Calibri" w:hAnsi="Calibri"/>
            <w:sz w:val="18"/>
            <w:szCs w:val="18"/>
          </w:rPr>
          <w:t xml:space="preserve">https://cdn.who.int/media/docs/default-source/documents/health-topics/rehabilitation/basic-pir-info-sheet.pdf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	</w:t>
      </w:r>
      <w:r>
        <w:rPr>
          <w:rFonts w:ascii="Calibri" w:cs="Calibri" w:eastAsia="Calibri" w:hAnsi="Calibri"/>
          <w:sz w:val="18"/>
          <w:szCs w:val="18"/>
        </w:rPr>
        <w:t xml:space="preserve">Pérez Mariño P, Bilbao Ogando G, Fraiz Barbeito M, López Míguens V, Paseiro Ares G, Díez Meleiro Ó, et al. Análisis de la efectividad clínica e impacto económico de una gestión racional de los recursos de fisioterapia en patología de alta prevalencia en Atención Primaria. [s. l.]: Sociedade Galega de Fisioterapeutas; febrero de 2019. Informe profesional no publicado en revista.</w:t>
      </w:r>
    </w:p>
    <w:p>
      <w:pPr>
        <w:tabs>
          <w:tab w:val="left" w:pos="567"/>
        </w:tabs>
        <w:spacing w:after="80"/>
        <w:ind w:left="567" w:hanging="567"/>
      </w:pPr>
      <w:r>
        <w:rPr>
          <w:rFonts w:ascii="Calibri" w:cs="Calibri" w:eastAsia="Calibri" w:hAnsi="Calibri"/>
          <w:sz w:val="18"/>
          <w:szCs w:val="18"/>
        </w:rPr>
        <w:t xml:space="preserve">9.	</w:t>
      </w:r>
      <w:r>
        <w:rPr>
          <w:rFonts w:ascii="Calibri" w:cs="Calibri" w:eastAsia="Calibri" w:hAnsi="Calibri"/>
          <w:sz w:val="18"/>
          <w:szCs w:val="18"/>
        </w:rPr>
        <w:t xml:space="preserve">Gerencia Asistencial de Atención Primaria, Servicio Madrileño de Salud. Atención a la demanda. Atención a procesos de demanda en las consultas de las Unidades de Atención Específica de Atención Primaria. Versión 8. Madrid: Servicio Madrileño de Salud; julio de 2024. Documento interno del Servicio Madrileño de Salud.</w:t>
      </w:r>
    </w:p>
    <w:p>
      <w:pPr>
        <w:tabs>
          <w:tab w:val="left" w:pos="567"/>
        </w:tabs>
        <w:spacing w:after="80"/>
        <w:ind w:left="567" w:hanging="567"/>
      </w:pPr>
      <w:r>
        <w:rPr>
          <w:rFonts w:ascii="Calibri" w:cs="Calibri" w:eastAsia="Calibri" w:hAnsi="Calibri"/>
          <w:sz w:val="18"/>
          <w:szCs w:val="18"/>
        </w:rPr>
        <w:t xml:space="preserve">10.	</w:t>
      </w:r>
      <w:r>
        <w:rPr>
          <w:rFonts w:ascii="Calibri" w:cs="Calibri" w:eastAsia="Calibri" w:hAnsi="Calibri"/>
          <w:sz w:val="18"/>
          <w:szCs w:val="18"/>
        </w:rPr>
        <w:t xml:space="preserve">Colegio Profesional de Fisioterapeutas de la Comunidad de Madrid, Grupo de Trabajo de Especialidades. Pertinencia de la solicitud de radiología simple por los fisioterapeutas de Atención Primaria en el marco de sus competencias. Documento de posición institucional. Madrid: CPFCM; junio de 2026. Documento institucional no publicado.</w:t>
      </w:r>
    </w:p>
    <w:p>
      <w:pPr>
        <w:tabs>
          <w:tab w:val="left" w:pos="567"/>
        </w:tabs>
        <w:spacing w:after="80"/>
        <w:ind w:left="567" w:hanging="567"/>
      </w:pPr>
      <w:r>
        <w:rPr>
          <w:rFonts w:ascii="Calibri" w:cs="Calibri" w:eastAsia="Calibri" w:hAnsi="Calibri"/>
          <w:sz w:val="18"/>
          <w:szCs w:val="18"/>
        </w:rPr>
        <w:t xml:space="preserve">11.	</w:t>
      </w:r>
      <w:r>
        <w:rPr>
          <w:rFonts w:ascii="Calibri" w:cs="Calibri" w:eastAsia="Calibri" w:hAnsi="Calibri"/>
          <w:sz w:val="18"/>
          <w:szCs w:val="18"/>
        </w:rPr>
        <w:t xml:space="preserve">Ministerio de Sanidad. Base de Datos Clínicos de Atención Primaria (BDCAP). Problemas de salud, año 2023 [consulta interactiva]. Disponible en: </w:t>
      </w:r>
      <w:hyperlink w:history="1" r:id="rIdbybcxouodx9rnw7u_malj">
        <w:r>
          <w:rPr>
            <w:rStyle w:val="Hyperlink"/>
            <w:rFonts w:ascii="Calibri" w:cs="Calibri" w:eastAsia="Calibri" w:hAnsi="Calibri"/>
            <w:sz w:val="18"/>
            <w:szCs w:val="18"/>
          </w:rPr>
          <w:t xml:space="preserve">https://pestadistico.inteligenciadegestion.sanidad.gob.es/publicoSNS/C/base-de-datos-de-clinicos-de-atencion-primaria-bdcap/problemas-de-salud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	</w:t>
      </w:r>
      <w:r>
        <w:rPr>
          <w:rFonts w:ascii="Calibri" w:cs="Calibri" w:eastAsia="Calibri" w:hAnsi="Calibri"/>
          <w:sz w:val="18"/>
          <w:szCs w:val="18"/>
        </w:rPr>
        <w:t xml:space="preserve">Department of Health. The Musculoskeletal Services Framework. A joint responsibility: doing it differently. Londres: Department of Health; 2006. Disponible en: </w:t>
      </w:r>
      <w:hyperlink w:history="1" r:id="rIdj59q6gluweon1w679otow">
        <w:r>
          <w:rPr>
            <w:rStyle w:val="Hyperlink"/>
            <w:rFonts w:ascii="Calibri" w:cs="Calibri" w:eastAsia="Calibri" w:hAnsi="Calibri"/>
            <w:sz w:val="18"/>
            <w:szCs w:val="18"/>
          </w:rPr>
          <w:t xml:space="preserve">https://chiro.org/Graphics_Box_CONDITIONS/FULL/The_Musculoskeletal_Services_Framework.pdf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	</w:t>
      </w:r>
      <w:r>
        <w:rPr>
          <w:rFonts w:ascii="Calibri" w:cs="Calibri" w:eastAsia="Calibri" w:hAnsi="Calibri"/>
          <w:sz w:val="18"/>
          <w:szCs w:val="18"/>
        </w:rPr>
        <w:t xml:space="preserve">NHS England. First contact physiotherapists [página web]. Disponible en: </w:t>
      </w:r>
      <w:hyperlink w:history="1" r:id="rIdndxm8jvwahun52h_wpmy6">
        <w:r>
          <w:rPr>
            <w:rStyle w:val="Hyperlink"/>
            <w:rFonts w:ascii="Calibri" w:cs="Calibri" w:eastAsia="Calibri" w:hAnsi="Calibri"/>
            <w:sz w:val="18"/>
            <w:szCs w:val="18"/>
          </w:rPr>
          <w:t xml:space="preserve">https://www.england.nhs.uk/gp/expanding-our-workforce/first-contact-physiotherapists/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	</w:t>
      </w:r>
      <w:r>
        <w:rPr>
          <w:rFonts w:ascii="Calibri" w:cs="Calibri" w:eastAsia="Calibri" w:hAnsi="Calibri"/>
          <w:sz w:val="18"/>
          <w:szCs w:val="18"/>
        </w:rPr>
        <w:t xml:space="preserve">Jordan KP, Kadam UT, Hayward R, Porcheret M, Young C, Croft P. Annual consultation prevalence of regional musculoskeletal problems in primary care: an observational study. BMC Musculoskelet Disord. 2010;11:144. PMID: 20598124. </w:t>
      </w:r>
      <w:hyperlink w:history="1" r:id="rIdxw-clcvx1ujlfaacgvsvi">
        <w:r>
          <w:rPr>
            <w:rStyle w:val="Hyperlink"/>
            <w:rFonts w:ascii="Calibri" w:cs="Calibri" w:eastAsia="Calibri" w:hAnsi="Calibri"/>
            <w:sz w:val="18"/>
            <w:szCs w:val="18"/>
          </w:rPr>
          <w:t xml:space="preserve">doi:10.1186/1471-2474-11-144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	</w:t>
      </w:r>
      <w:r>
        <w:rPr>
          <w:rFonts w:ascii="Calibri" w:cs="Calibri" w:eastAsia="Calibri" w:hAnsi="Calibri"/>
          <w:sz w:val="18"/>
          <w:szCs w:val="18"/>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w:history="1" r:id="rIdqjgzo36eoyan2nkvuiiem">
        <w:r>
          <w:rPr>
            <w:rStyle w:val="Hyperlink"/>
            <w:rFonts w:ascii="Calibri" w:cs="Calibri" w:eastAsia="Calibri" w:hAnsi="Calibri"/>
            <w:sz w:val="18"/>
            <w:szCs w:val="18"/>
          </w:rPr>
          <w:t xml:space="preserve">doi:10.1136/bmjopen-2016-012987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	</w:t>
      </w:r>
      <w:r>
        <w:rPr>
          <w:rFonts w:ascii="Calibri" w:cs="Calibri" w:eastAsia="Calibri" w:hAnsi="Calibri"/>
          <w:sz w:val="18"/>
          <w:szCs w:val="18"/>
        </w:rPr>
        <w:t xml:space="preserve">Keavy R, Horton R, Al-Dadah O. The prevalence of musculoskeletal presentations in general practice: an epidemiological study. Fam Pract. 2023;40(1):68-74. PMID: 35747902. </w:t>
      </w:r>
      <w:hyperlink w:history="1" r:id="rIdgkxhu1mu_na_ofe5crk6g">
        <w:r>
          <w:rPr>
            <w:rStyle w:val="Hyperlink"/>
            <w:rFonts w:ascii="Calibri" w:cs="Calibri" w:eastAsia="Calibri" w:hAnsi="Calibri"/>
            <w:sz w:val="18"/>
            <w:szCs w:val="18"/>
          </w:rPr>
          <w:t xml:space="preserve">doi:10.1093/fampra/cmac055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	</w:t>
      </w:r>
      <w:r>
        <w:rPr>
          <w:rFonts w:ascii="Calibri" w:cs="Calibri" w:eastAsia="Calibri" w:hAnsi="Calibri"/>
          <w:sz w:val="18"/>
          <w:szCs w:val="18"/>
        </w:rPr>
        <w:t xml:space="preserve">Hartvigsen J, Hancock MJ, Kongsted A, Louw Q, Ferreira ML, Genevay S, et al. What low back pain is and why we need to pay attention. Lancet. 2018;391(10137):2356-67. PMID: 29573870. </w:t>
      </w:r>
      <w:hyperlink w:history="1" r:id="rIdqgc8qb4aurk0ijx7b540u">
        <w:r>
          <w:rPr>
            <w:rStyle w:val="Hyperlink"/>
            <w:rFonts w:ascii="Calibri" w:cs="Calibri" w:eastAsia="Calibri" w:hAnsi="Calibri"/>
            <w:sz w:val="18"/>
            <w:szCs w:val="18"/>
          </w:rPr>
          <w:t xml:space="preserve">doi:10.1016/S0140-6736(18)30480-X</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18.	</w:t>
      </w:r>
      <w:r>
        <w:rPr>
          <w:rFonts w:ascii="Calibri" w:cs="Calibri" w:eastAsia="Calibri" w:hAnsi="Calibri"/>
          <w:sz w:val="18"/>
          <w:szCs w:val="18"/>
        </w:rPr>
        <w:t xml:space="preserve">Hoy D, Bain C, Williams G, March L, Brooks P, Blyth F, et al. A systematic review of the global prevalence of low back pain. Arthritis Rheum. 2012;64(6):2028-37. PMID: 22231424. </w:t>
      </w:r>
      <w:hyperlink w:history="1" r:id="rIdzq9xd2cddkdybdhbsxqui">
        <w:r>
          <w:rPr>
            <w:rStyle w:val="Hyperlink"/>
            <w:rFonts w:ascii="Calibri" w:cs="Calibri" w:eastAsia="Calibri" w:hAnsi="Calibri"/>
            <w:sz w:val="18"/>
            <w:szCs w:val="18"/>
          </w:rPr>
          <w:t xml:space="preserve">doi:10.1002/art.34347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19.	</w:t>
      </w:r>
      <w:r>
        <w:rPr>
          <w:rFonts w:ascii="Calibri" w:cs="Calibri" w:eastAsia="Calibri" w:hAnsi="Calibri"/>
          <w:sz w:val="18"/>
          <w:szCs w:val="18"/>
        </w:rPr>
        <w:t xml:space="preserve">Kääriä S, Luukkonen R, Riihimäki H, Kirjonen J, Leino-Arjas P. Persistence of low back pain reporting among a cohort of employees in a metal corporation: a study with 5-, 10-, and 28-year follow-ups. Pain. 2006;120(1-2):131-7. PMID: 16360271. </w:t>
      </w:r>
      <w:hyperlink w:history="1" r:id="rIdbcbbsr4faktksskbb4fuy">
        <w:r>
          <w:rPr>
            <w:rStyle w:val="Hyperlink"/>
            <w:rFonts w:ascii="Calibri" w:cs="Calibri" w:eastAsia="Calibri" w:hAnsi="Calibri"/>
            <w:sz w:val="18"/>
            <w:szCs w:val="18"/>
          </w:rPr>
          <w:t xml:space="preserve">doi:10.1016/j.pain.2005.10.020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20.	</w:t>
      </w:r>
      <w:r>
        <w:rPr>
          <w:rFonts w:ascii="Calibri" w:cs="Calibri" w:eastAsia="Calibri" w:hAnsi="Calibri"/>
          <w:sz w:val="18"/>
          <w:szCs w:val="18"/>
        </w:rPr>
        <w:t xml:space="preserve">Cohen SP. Epidemiology, diagnosis, and treatment of neck pain. Mayo Clin Proc. 2015;90(2):284-99. PMID: 25659245. </w:t>
      </w:r>
      <w:hyperlink w:history="1" r:id="rIdmu_084g5uj-xmahatmhy-">
        <w:r>
          <w:rPr>
            <w:rStyle w:val="Hyperlink"/>
            <w:rFonts w:ascii="Calibri" w:cs="Calibri" w:eastAsia="Calibri" w:hAnsi="Calibri"/>
            <w:sz w:val="18"/>
            <w:szCs w:val="18"/>
          </w:rPr>
          <w:t xml:space="preserve">doi:10.1016/j.mayocp.2014.09.008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21.	</w:t>
      </w:r>
      <w:r>
        <w:rPr>
          <w:rFonts w:ascii="Calibri" w:cs="Calibri" w:eastAsia="Calibri" w:hAnsi="Calibri"/>
          <w:sz w:val="18"/>
          <w:szCs w:val="18"/>
        </w:rPr>
        <w:t xml:space="preserve">Garving C, Jakob S, Bauer I, Nadjar R, Brunner UH. Impingement syndrome of the shoulder. Dtsch Arztebl Int. 2017;114(45):765-76. PMID: 29202926. </w:t>
      </w:r>
      <w:hyperlink w:history="1" r:id="rIdveqrbokdr6ryrhsseuxb6">
        <w:r>
          <w:rPr>
            <w:rStyle w:val="Hyperlink"/>
            <w:rFonts w:ascii="Calibri" w:cs="Calibri" w:eastAsia="Calibri" w:hAnsi="Calibri"/>
            <w:sz w:val="18"/>
            <w:szCs w:val="18"/>
          </w:rPr>
          <w:t xml:space="preserve">doi:10.3238/arztebl.2017.0765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22.	</w:t>
      </w:r>
      <w:r>
        <w:rPr>
          <w:rFonts w:ascii="Calibri" w:cs="Calibri" w:eastAsia="Calibri" w:hAnsi="Calibri"/>
          <w:sz w:val="18"/>
          <w:szCs w:val="18"/>
        </w:rPr>
        <w:t xml:space="preserve">Breivik H, Collett B, Ventafridda V, Cohen R, Gallacher D. Survey of chronic pain in Europe: prevalence, impact on daily life, and treatment. Eur J Pain. 2006;10(4):287-333. PMID: 16095934. </w:t>
      </w:r>
      <w:hyperlink w:history="1" r:id="rIdap6wvpzsjmcagmuhcmwy3">
        <w:r>
          <w:rPr>
            <w:rStyle w:val="Hyperlink"/>
            <w:rFonts w:ascii="Calibri" w:cs="Calibri" w:eastAsia="Calibri" w:hAnsi="Calibri"/>
            <w:sz w:val="18"/>
            <w:szCs w:val="18"/>
          </w:rPr>
          <w:t xml:space="preserve">doi:10.1016/j.ejpain.2005.06.009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23.	</w:t>
      </w:r>
      <w:r>
        <w:rPr>
          <w:rFonts w:ascii="Calibri" w:cs="Calibri" w:eastAsia="Calibri" w:hAnsi="Calibri"/>
          <w:sz w:val="18"/>
          <w:szCs w:val="18"/>
        </w:rPr>
        <w:t xml:space="preserve">Seguridad Social. Estadísticas de incapacidad temporal por contingencias comunes [página web]. Disponible en: </w:t>
      </w:r>
      <w:hyperlink w:history="1" r:id="rIde9ny3t8xpbinrihxrc7w-">
        <w:r>
          <w:rPr>
            <w:rStyle w:val="Hyperlink"/>
            <w:rFonts w:ascii="Calibri" w:cs="Calibri" w:eastAsia="Calibri" w:hAnsi="Calibri"/>
            <w:sz w:val="18"/>
            <w:szCs w:val="18"/>
          </w:rPr>
          <w:t xml:space="preserve">https://www.seg-social.es/wps/portal/wss/internet/EstadisticasPresupuestosEstudios/Estadisticas/EST45/EST46/EST189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24.	</w:t>
      </w:r>
      <w:r>
        <w:rPr>
          <w:rFonts w:ascii="Calibri" w:cs="Calibri" w:eastAsia="Calibri" w:hAnsi="Calibri"/>
          <w:sz w:val="18"/>
          <w:szCs w:val="18"/>
        </w:rPr>
        <w:t xml:space="preserve">Regal-Ramos R. Epidemiología de la incapacidad laboral por patología osteomuscular en España: 60.000 trabajadores valorados por el Instituto Nacional de la Seguridad Social en 2019. Med Segur Trab (Internet). 2022;68(269):209-220. </w:t>
      </w:r>
      <w:hyperlink w:history="1" r:id="rIdja7aggb_o96eqoxdxwtoz">
        <w:r>
          <w:rPr>
            <w:rStyle w:val="Hyperlink"/>
            <w:rFonts w:ascii="Calibri" w:cs="Calibri" w:eastAsia="Calibri" w:hAnsi="Calibri"/>
            <w:sz w:val="18"/>
            <w:szCs w:val="18"/>
          </w:rPr>
          <w:t xml:space="preserve">doi:10.4321/s0465-546x2022000400003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25.	</w:t>
      </w:r>
      <w:r>
        <w:rPr>
          <w:rFonts w:ascii="Calibri" w:cs="Calibri" w:eastAsia="Calibri" w:hAnsi="Calibri"/>
          <w:sz w:val="18"/>
          <w:szCs w:val="18"/>
        </w:rPr>
        <w:t xml:space="preserve">Lambeek LC, van Tulder MW, Swinkels IC, Koppes LL, Anema JR, van Mechelen W. The trend in total cost of back pain in The Netherlands in the period 2002 to 2007. Spine (Phila Pa 1976). 2011;36(13):1050-8. PMID: 21150697. </w:t>
      </w:r>
      <w:hyperlink w:history="1" r:id="rIdkmgjd0uvn2wmky4kiw2of">
        <w:r>
          <w:rPr>
            <w:rStyle w:val="Hyperlink"/>
            <w:rFonts w:ascii="Calibri" w:cs="Calibri" w:eastAsia="Calibri" w:hAnsi="Calibri"/>
            <w:sz w:val="18"/>
            <w:szCs w:val="18"/>
          </w:rPr>
          <w:t xml:space="preserve">doi:10.1097/BRS.0b013e3181e70488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26.	</w:t>
      </w:r>
      <w:r>
        <w:rPr>
          <w:rFonts w:ascii="Calibri" w:cs="Calibri" w:eastAsia="Calibri" w:hAnsi="Calibri"/>
          <w:sz w:val="18"/>
          <w:szCs w:val="18"/>
        </w:rPr>
        <w:t xml:space="preserve">Anema JR, Schellart AJ, Cassidy JD, Loisel P, Veerman TJ, van der Beek AJ. Can cross country differences in return-to-work after chronic occupational back pain be explained? An exploratory analysis on disability policies in a six country cohort study. J Occup Rehabil. 2009;19(4):419-26. PMID: 19760488. </w:t>
      </w:r>
      <w:hyperlink w:history="1" r:id="rId3kiszzz34puh2wxwclh6d">
        <w:r>
          <w:rPr>
            <w:rStyle w:val="Hyperlink"/>
            <w:rFonts w:ascii="Calibri" w:cs="Calibri" w:eastAsia="Calibri" w:hAnsi="Calibri"/>
            <w:sz w:val="18"/>
            <w:szCs w:val="18"/>
          </w:rPr>
          <w:t xml:space="preserve">doi:10.1007/s10926-009-9202-3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27.	</w:t>
      </w:r>
      <w:r>
        <w:rPr>
          <w:rFonts w:ascii="Calibri" w:cs="Calibri" w:eastAsia="Calibri" w:hAnsi="Calibri"/>
          <w:sz w:val="18"/>
          <w:szCs w:val="18"/>
        </w:rPr>
        <w:t xml:space="preserve">Busch H, Bodin L, Bergström G, Jensen IB. Patterns of sickness absence a decade after pain-related multidisciplinary rehabilitation. Pain. 2011;152(8):1727-33. PMID: 21507573. </w:t>
      </w:r>
      <w:hyperlink w:history="1" r:id="rIda91lo48yvv-azmikqv8_e">
        <w:r>
          <w:rPr>
            <w:rStyle w:val="Hyperlink"/>
            <w:rFonts w:ascii="Calibri" w:cs="Calibri" w:eastAsia="Calibri" w:hAnsi="Calibri"/>
            <w:sz w:val="18"/>
            <w:szCs w:val="18"/>
          </w:rPr>
          <w:t xml:space="preserve">doi:10.1016/j.pain.2011.02.004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28.	</w:t>
      </w:r>
      <w:r>
        <w:rPr>
          <w:rFonts w:ascii="Calibri" w:cs="Calibri" w:eastAsia="Calibri" w:hAnsi="Calibri"/>
          <w:sz w:val="18"/>
          <w:szCs w:val="18"/>
        </w:rPr>
        <w:t xml:space="preserve">Busch H, Björk Brämberg E, Hagberg J, Bodin L, Jensen I. The effects of multimodal rehabilitation on pain-related sickness absence: an observational study. Disabil Rehabil. 2018;40(14):1646-53. PMID: 28345360. </w:t>
      </w:r>
      <w:hyperlink w:history="1" r:id="rIdi8newr6m_fyux2g8kbye3">
        <w:r>
          <w:rPr>
            <w:rStyle w:val="Hyperlink"/>
            <w:rFonts w:ascii="Calibri" w:cs="Calibri" w:eastAsia="Calibri" w:hAnsi="Calibri"/>
            <w:sz w:val="18"/>
            <w:szCs w:val="18"/>
          </w:rPr>
          <w:t xml:space="preserve">doi:10.1080/09638288.2017.1305456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29.	</w:t>
      </w:r>
      <w:r>
        <w:rPr>
          <w:rFonts w:ascii="Calibri" w:cs="Calibri" w:eastAsia="Calibri" w:hAnsi="Calibri"/>
          <w:sz w:val="18"/>
          <w:szCs w:val="18"/>
        </w:rPr>
        <w:t xml:space="preserve">Ojha HA, Snyder RS, Davenport TE. Direct access compared with referred physical therapy episodes of care: a systematic review. Phys Ther. 2014;94(1):14-30. PMID: 24029295. </w:t>
      </w:r>
      <w:hyperlink w:history="1" r:id="rIdye3a0jytybptufxoasw_7">
        <w:r>
          <w:rPr>
            <w:rStyle w:val="Hyperlink"/>
            <w:rFonts w:ascii="Calibri" w:cs="Calibri" w:eastAsia="Calibri" w:hAnsi="Calibri"/>
            <w:sz w:val="18"/>
            <w:szCs w:val="18"/>
          </w:rPr>
          <w:t xml:space="preserve">doi:10.2522/ptj.20130096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30.	</w:t>
      </w:r>
      <w:r>
        <w:rPr>
          <w:rFonts w:ascii="Calibri" w:cs="Calibri" w:eastAsia="Calibri" w:hAnsi="Calibri"/>
          <w:sz w:val="18"/>
          <w:szCs w:val="18"/>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w:history="1" r:id="rId7j2rfzrdx689cavi5_prp">
        <w:r>
          <w:rPr>
            <w:rStyle w:val="Hyperlink"/>
            <w:rFonts w:ascii="Calibri" w:cs="Calibri" w:eastAsia="Calibri" w:hAnsi="Calibri"/>
            <w:sz w:val="18"/>
            <w:szCs w:val="18"/>
          </w:rPr>
          <w:t xml:space="preserve">doi:10.1111/1475-6773.12984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31.	</w:t>
      </w:r>
      <w:r>
        <w:rPr>
          <w:rFonts w:ascii="Calibri" w:cs="Calibri" w:eastAsia="Calibri" w:hAnsi="Calibri"/>
          <w:sz w:val="18"/>
          <w:szCs w:val="18"/>
        </w:rPr>
        <w:t xml:space="preserve">Abuhl B, Ehrmantraut D, Wolden M. First-contact physical therapy compared to usual primary care for musculoskeletal disorders: a systematic review and meta-analysis of randomized controlled trials. Phys Ther. 2025;105(8):pzaf080. PMID: 40511847. </w:t>
      </w:r>
      <w:hyperlink w:history="1" r:id="rIdp9ol8ff98tpvozzzy7sxy">
        <w:r>
          <w:rPr>
            <w:rStyle w:val="Hyperlink"/>
            <w:rFonts w:ascii="Calibri" w:cs="Calibri" w:eastAsia="Calibri" w:hAnsi="Calibri"/>
            <w:sz w:val="18"/>
            <w:szCs w:val="18"/>
          </w:rPr>
          <w:t xml:space="preserve">doi:10.1093/ptj/pzaf080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32.	</w:t>
      </w:r>
      <w:r>
        <w:rPr>
          <w:rFonts w:ascii="Calibri" w:cs="Calibri" w:eastAsia="Calibri" w:hAnsi="Calibri"/>
          <w:sz w:val="18"/>
          <w:szCs w:val="18"/>
        </w:rPr>
        <w:t xml:space="preserve">Fritz JM, Childs JD, Wainner RS, Flynn TW. Primary care referral of patients with low back pain to physical therapy: impact on future health care utilization and costs. Spine (Phila Pa 1976). 2012;37(25):2114-21. PMID: 22614792. </w:t>
      </w:r>
      <w:hyperlink w:history="1" r:id="rIdtirkekj8r-pjv0lrj32t-">
        <w:r>
          <w:rPr>
            <w:rStyle w:val="Hyperlink"/>
            <w:rFonts w:ascii="Calibri" w:cs="Calibri" w:eastAsia="Calibri" w:hAnsi="Calibri"/>
            <w:sz w:val="18"/>
            <w:szCs w:val="18"/>
          </w:rPr>
          <w:t xml:space="preserve">doi:10.1097/BRS.0b013e31825d32f5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33.	</w:t>
      </w:r>
      <w:r>
        <w:rPr>
          <w:rFonts w:ascii="Calibri" w:cs="Calibri" w:eastAsia="Calibri" w:hAnsi="Calibri"/>
          <w:sz w:val="18"/>
          <w:szCs w:val="18"/>
        </w:rPr>
        <w:t xml:space="preserve">Nordeman L, Nilsson B, Möller M, Gunnarsson R. Early access to physical therapy treatment for subacute low back pain in primary health care: a prospective randomized clinical trial. Clin J Pain. 2006;22(6):505-11. PMID: 16788335. </w:t>
      </w:r>
      <w:hyperlink w:history="1" r:id="rIdqtmlb-iflrqmn797tniiy">
        <w:r>
          <w:rPr>
            <w:rStyle w:val="Hyperlink"/>
            <w:rFonts w:ascii="Calibri" w:cs="Calibri" w:eastAsia="Calibri" w:hAnsi="Calibri"/>
            <w:sz w:val="18"/>
            <w:szCs w:val="18"/>
          </w:rPr>
          <w:t xml:space="preserve">doi:10.1097/01.ajp.0000210696.46250.0d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34.	</w:t>
      </w:r>
      <w:r>
        <w:rPr>
          <w:rFonts w:ascii="Calibri" w:cs="Calibri" w:eastAsia="Calibri" w:hAnsi="Calibri"/>
          <w:sz w:val="18"/>
          <w:szCs w:val="18"/>
        </w:rPr>
        <w:t xml:space="preserve">Wand BM, Bird C, McAuley JH, Doré CJ, MacDowell M, De Souza LH. Early intervention for the management of acute low back pain: a single-blind randomized controlled trial of biopsychosocial education, manual therapy, and exercise. Spine (Phila Pa 1976). 2004;29(21):2350-6. PMID: 15507794. </w:t>
      </w:r>
      <w:hyperlink w:history="1" r:id="rIdhobravu3lxfvwt5ken50s">
        <w:r>
          <w:rPr>
            <w:rStyle w:val="Hyperlink"/>
            <w:rFonts w:ascii="Calibri" w:cs="Calibri" w:eastAsia="Calibri" w:hAnsi="Calibri"/>
            <w:sz w:val="18"/>
            <w:szCs w:val="18"/>
          </w:rPr>
          <w:t xml:space="preserve">doi:10.1097/01.brs.0000143619.34308.b4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35.	</w:t>
      </w:r>
      <w:r>
        <w:rPr>
          <w:rFonts w:ascii="Calibri" w:cs="Calibri" w:eastAsia="Calibri" w:hAnsi="Calibri"/>
          <w:sz w:val="18"/>
          <w:szCs w:val="18"/>
        </w:rPr>
        <w:t xml:space="preserve">Zigenfus GC, Yin J, Giang GM, Fogarty WT. Effectiveness of early physical therapy in the treatment of acute low back musculoskeletal disorders. J Occup Environ Med. 2000;42(1):35-9. PMID: 10652686. </w:t>
      </w:r>
      <w:hyperlink w:history="1" r:id="rIdcqgdkhaowb0zlvaiifkmk">
        <w:r>
          <w:rPr>
            <w:rStyle w:val="Hyperlink"/>
            <w:rFonts w:ascii="Calibri" w:cs="Calibri" w:eastAsia="Calibri" w:hAnsi="Calibri"/>
            <w:sz w:val="18"/>
            <w:szCs w:val="18"/>
          </w:rPr>
          <w:t xml:space="preserve">doi:10.1097/00043764-200001000-00010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36.	</w:t>
      </w:r>
      <w:r>
        <w:rPr>
          <w:rFonts w:ascii="Calibri" w:cs="Calibri" w:eastAsia="Calibri" w:hAnsi="Calibri"/>
          <w:sz w:val="18"/>
          <w:szCs w:val="18"/>
        </w:rPr>
        <w:t xml:space="preserve">da Casa C, Suárez ÁV, Asensio N, Blanco JF. Quality assessment of orthopedic surgery referral request letters from primary care consultation: evaluation of a Spanish healthcare area. J Family Community Med. 2021;28(3):189-95. PMID: 34703379. </w:t>
      </w:r>
      <w:hyperlink w:history="1" r:id="rIdcjjm5lk52sbbvttiukzbt">
        <w:r>
          <w:rPr>
            <w:rStyle w:val="Hyperlink"/>
            <w:rFonts w:ascii="Calibri" w:cs="Calibri" w:eastAsia="Calibri" w:hAnsi="Calibri"/>
            <w:sz w:val="18"/>
            <w:szCs w:val="18"/>
          </w:rPr>
          <w:t xml:space="preserve">doi:10.4103/jfcm.jfcm_133_21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37.	</w:t>
      </w:r>
      <w:r>
        <w:rPr>
          <w:rFonts w:ascii="Calibri" w:cs="Calibri" w:eastAsia="Calibri" w:hAnsi="Calibri"/>
          <w:sz w:val="18"/>
          <w:szCs w:val="18"/>
        </w:rPr>
        <w:t xml:space="preserve">Downie F, McRitchie C, Monteith W, Turner H. Physiotherapist as an alternative to a GP for musculoskeletal conditions: a 2-year service evaluation of UK primary care data. Br J Gen Pract. 2019;69(682):e314-e320. PMID: 30962224. </w:t>
      </w:r>
      <w:hyperlink w:history="1" r:id="rIdt5xtgfr7kfpjxdpbtw1zl">
        <w:r>
          <w:rPr>
            <w:rStyle w:val="Hyperlink"/>
            <w:rFonts w:ascii="Calibri" w:cs="Calibri" w:eastAsia="Calibri" w:hAnsi="Calibri"/>
            <w:sz w:val="18"/>
            <w:szCs w:val="18"/>
          </w:rPr>
          <w:t xml:space="preserve">doi:10.3399/bjgp19X702245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38.	</w:t>
      </w:r>
      <w:r>
        <w:rPr>
          <w:rFonts w:ascii="Calibri" w:cs="Calibri" w:eastAsia="Calibri" w:hAnsi="Calibri"/>
          <w:sz w:val="18"/>
          <w:szCs w:val="18"/>
        </w:rPr>
        <w:t xml:space="preserve">Bradford B, Collier TS, Freeman M, Goodwin R. Primary care reattendance following an FCPP appointment: a national retrospective service evaluation. Musculoskeletal Care. 2025;23(2):e70143. PMID: 40515757. </w:t>
      </w:r>
      <w:hyperlink w:history="1" r:id="rIdnu3vyvivw27jivv371sgt">
        <w:r>
          <w:rPr>
            <w:rStyle w:val="Hyperlink"/>
            <w:rFonts w:ascii="Calibri" w:cs="Calibri" w:eastAsia="Calibri" w:hAnsi="Calibri"/>
            <w:sz w:val="18"/>
            <w:szCs w:val="18"/>
          </w:rPr>
          <w:t xml:space="preserve">doi:10.1002/msc.70143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39.	</w:t>
      </w:r>
      <w:r>
        <w:rPr>
          <w:rFonts w:ascii="Calibri" w:cs="Calibri" w:eastAsia="Calibri" w:hAnsi="Calibri"/>
          <w:sz w:val="18"/>
          <w:szCs w:val="18"/>
        </w:rPr>
        <w:t xml:space="preserve">Comunidad de Madrid. Los fisioterapeutas de los centros de salud de la Comunidad de Madrid atendieron a cerca de 159.000 pacientes en 2024 [nota de prensa]. Madrid; 5 de septiembre de 2025. Disponible en: </w:t>
      </w:r>
      <w:hyperlink w:history="1" r:id="rIdpfuxf_vr412wwucuwhkej">
        <w:r>
          <w:rPr>
            <w:rStyle w:val="Hyperlink"/>
            <w:rFonts w:ascii="Calibri" w:cs="Calibri" w:eastAsia="Calibri" w:hAnsi="Calibri"/>
            <w:sz w:val="18"/>
            <w:szCs w:val="18"/>
          </w:rPr>
          <w:t xml:space="preserve">https://www.comunidad.madrid/noticias/2025/09/05/fisioterapeutas-centros-salud-comunidad-madrid-atendieron-cerca-159000-pacientes-2024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40.	</w:t>
      </w:r>
      <w:r>
        <w:rPr>
          <w:rFonts w:ascii="Calibri" w:cs="Calibri" w:eastAsia="Calibri" w:hAnsi="Calibri"/>
          <w:sz w:val="18"/>
          <w:szCs w:val="18"/>
        </w:rPr>
        <w:t xml:space="preserve">Wood L, Hendrick P, Boszczyk B, Dunstan E. A review of the surgical conversion rate and independent management of spinal extended scope practitioners in a secondary care setting. Ann R Coll Surg Engl. 2016;98(3):187-91. PMID: 26741663. </w:t>
      </w:r>
      <w:hyperlink w:history="1" r:id="rIds3e0pgf1xkegdtnl6epbe">
        <w:r>
          <w:rPr>
            <w:rStyle w:val="Hyperlink"/>
            <w:rFonts w:ascii="Calibri" w:cs="Calibri" w:eastAsia="Calibri" w:hAnsi="Calibri"/>
            <w:sz w:val="18"/>
            <w:szCs w:val="18"/>
          </w:rPr>
          <w:t xml:space="preserve">doi:10.1308/rcsann.2016.0054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41.	</w:t>
      </w:r>
      <w:r>
        <w:rPr>
          <w:rFonts w:ascii="Calibri" w:cs="Calibri" w:eastAsia="Calibri" w:hAnsi="Calibri"/>
          <w:sz w:val="18"/>
          <w:szCs w:val="18"/>
        </w:rPr>
        <w:t xml:space="preserve">Candy E, Haworth-Booth S, Knight-Davis M. Review of the effectiveness of a consultant physiotherapy-led musculoskeletal interface team: a Welsh experience. Musculoskeletal Care. 2016;14(3):185-91. PMID: 27605463. </w:t>
      </w:r>
      <w:hyperlink w:history="1" r:id="rIdzxh77njk7-sg9x6uzmdrt">
        <w:r>
          <w:rPr>
            <w:rStyle w:val="Hyperlink"/>
            <w:rFonts w:ascii="Calibri" w:cs="Calibri" w:eastAsia="Calibri" w:hAnsi="Calibri"/>
            <w:sz w:val="18"/>
            <w:szCs w:val="18"/>
          </w:rPr>
          <w:t xml:space="preserve">doi:10.1002/msc.1122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42.	</w:t>
      </w:r>
      <w:r>
        <w:rPr>
          <w:rFonts w:ascii="Calibri" w:cs="Calibri" w:eastAsia="Calibri" w:hAnsi="Calibri"/>
          <w:sz w:val="18"/>
          <w:szCs w:val="18"/>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w:history="1" r:id="rIdxhwgo8xmrm5l_8ajefc1f">
        <w:r>
          <w:rPr>
            <w:rStyle w:val="Hyperlink"/>
            <w:rFonts w:ascii="Calibri" w:cs="Calibri" w:eastAsia="Calibri" w:hAnsi="Calibri"/>
            <w:sz w:val="18"/>
            <w:szCs w:val="18"/>
          </w:rPr>
          <w:t xml:space="preserve">https://www.boe.es/buscar/act.php?id=BOE-A-2006-16212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43.	</w:t>
      </w:r>
      <w:r>
        <w:rPr>
          <w:rFonts w:ascii="Calibri" w:cs="Calibri" w:eastAsia="Calibri" w:hAnsi="Calibri"/>
          <w:sz w:val="18"/>
          <w:szCs w:val="18"/>
        </w:rPr>
        <w:t xml:space="preserve">Ministerio de Sanidad. Cartera de servicios comunes de atención primaria: rehabilitación básica [página web]. Disponible en: </w:t>
      </w:r>
      <w:hyperlink w:history="1" r:id="rIdfdfqgqofggo778wxpvzv8">
        <w:r>
          <w:rPr>
            <w:rStyle w:val="Hyperlink"/>
            <w:rFonts w:ascii="Calibri" w:cs="Calibri" w:eastAsia="Calibri" w:hAnsi="Calibri"/>
            <w:sz w:val="18"/>
            <w:szCs w:val="18"/>
          </w:rPr>
          <w:t xml:space="preserve">https://www.sanidad.gob.es/profesionales/prestacionesSanitarias/CarteraDeServicios/ContenidoCS/2AtencionPrimaria/AP-RehabilitacionBasica.htm</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44.	</w:t>
      </w:r>
      <w:r>
        <w:rPr>
          <w:rFonts w:ascii="Calibri" w:cs="Calibri" w:eastAsia="Calibri" w:hAnsi="Calibri"/>
          <w:sz w:val="18"/>
          <w:szCs w:val="18"/>
        </w:rPr>
        <w:t xml:space="preserve">Orden SND/454/2025, de 9 de mayo, por la que se modifican los anexos I, II, III y VI del Real Decreto 1030/2006. Boletín Oficial del Estado, BOE-A-2025-9277. Disponible en: </w:t>
      </w:r>
      <w:hyperlink w:history="1" r:id="rIdlqfbmlu0ticwl5hrtaryx">
        <w:r>
          <w:rPr>
            <w:rStyle w:val="Hyperlink"/>
            <w:rFonts w:ascii="Calibri" w:cs="Calibri" w:eastAsia="Calibri" w:hAnsi="Calibri"/>
            <w:sz w:val="18"/>
            <w:szCs w:val="18"/>
          </w:rPr>
          <w:t xml:space="preserve">https://www.boe.es/diario_boe/txt.php?id=BOE-A-2025-9277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45.	</w:t>
      </w:r>
      <w:r>
        <w:rPr>
          <w:rFonts w:ascii="Calibri" w:cs="Calibri" w:eastAsia="Calibri" w:hAnsi="Calibri"/>
          <w:sz w:val="18"/>
          <w:szCs w:val="18"/>
        </w:rPr>
        <w:t xml:space="preserve">Ley 16/2003, de 28 de mayo, de cohesión y calidad del Sistema Nacional de Salud. Boletín Oficial del Estado, BOE-A-2003-10715. Texto consolidado. Disponible en: </w:t>
      </w:r>
      <w:hyperlink w:history="1" r:id="rId3bglokyrgit_ewh0q9joo">
        <w:r>
          <w:rPr>
            <w:rStyle w:val="Hyperlink"/>
            <w:rFonts w:ascii="Calibri" w:cs="Calibri" w:eastAsia="Calibri" w:hAnsi="Calibri"/>
            <w:sz w:val="18"/>
            <w:szCs w:val="18"/>
          </w:rPr>
          <w:t xml:space="preserve">https://www.boe.es/buscar/act.php?id=BOE-A-2003-10715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46.	</w:t>
      </w:r>
      <w:r>
        <w:rPr>
          <w:rFonts w:ascii="Calibri" w:cs="Calibri" w:eastAsia="Calibri" w:hAnsi="Calibri"/>
          <w:sz w:val="18"/>
          <w:szCs w:val="18"/>
        </w:rPr>
        <w:t xml:space="preserve">Ministerio de Sanidad, Consumo y Bienestar Social. Marco Estratégico para la Atención Primaria y Comunitaria. Madrid: Ministerio de Sanidad, Consumo y Bienestar Social; 2019. Publicado por Resolución de 26 de abril de 2019 de la Secretaría General de Sanidad y Consumo, BOE-A-2019-6761. Disponible en: </w:t>
      </w:r>
      <w:hyperlink w:history="1" r:id="rIdqltirv-srqtg1noxjk3ta">
        <w:r>
          <w:rPr>
            <w:rStyle w:val="Hyperlink"/>
            <w:rFonts w:ascii="Calibri" w:cs="Calibri" w:eastAsia="Calibri" w:hAnsi="Calibri"/>
            <w:sz w:val="18"/>
            <w:szCs w:val="18"/>
          </w:rPr>
          <w:t xml:space="preserve">https://www.sanidad.gob.es/areas/calidadAsistencial/estrategias/atencionPrimaria/docs/Marco_Estrategico_APS_25Abril_2019.pdf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47.	</w:t>
      </w:r>
      <w:r>
        <w:rPr>
          <w:rFonts w:ascii="Calibri" w:cs="Calibri" w:eastAsia="Calibri" w:hAnsi="Calibri"/>
          <w:sz w:val="18"/>
          <w:szCs w:val="18"/>
        </w:rPr>
        <w:t xml:space="preserve">Ministerio de Sanidad. Plan de Acción de Atención Primaria y Comunitaria 2022-2023. Madrid: Ministerio de Sanidad; 2021. Disponible en: </w:t>
      </w:r>
      <w:hyperlink w:history="1" r:id="rIdiuimq9y9qj_v8qibhubnd">
        <w:r>
          <w:rPr>
            <w:rStyle w:val="Hyperlink"/>
            <w:rFonts w:ascii="Calibri" w:cs="Calibri" w:eastAsia="Calibri" w:hAnsi="Calibri"/>
            <w:sz w:val="18"/>
            <w:szCs w:val="18"/>
          </w:rPr>
          <w:t xml:space="preserve">https://www.sanidad.gob.es/areas/calidadAsistencial/estrategias/atencionPrimaria/docs/Plan_de_Accion_de_Atencion_Primaria.pdf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48.	</w:t>
      </w:r>
      <w:r>
        <w:rPr>
          <w:rFonts w:ascii="Calibri" w:cs="Calibri" w:eastAsia="Calibri" w:hAnsi="Calibri"/>
          <w:sz w:val="18"/>
          <w:szCs w:val="18"/>
        </w:rPr>
        <w:t xml:space="preserve">Ministerio de Sanidad. Plan de Acción de Atención Primaria y Comunitaria 2025-2027. Madrid: Ministerio de Sanidad; 2024. Disponible en: </w:t>
      </w:r>
      <w:hyperlink w:history="1" r:id="rId4fkupetfnesyx7ksqxnpf">
        <w:r>
          <w:rPr>
            <w:rStyle w:val="Hyperlink"/>
            <w:rFonts w:ascii="Calibri" w:cs="Calibri" w:eastAsia="Calibri" w:hAnsi="Calibri"/>
            <w:sz w:val="18"/>
            <w:szCs w:val="18"/>
          </w:rPr>
          <w:t xml:space="preserve">https://www.sanidad.gob.es/areas/calidadAsistencial/estrategias/atencionPrimaria/docs/Plan_de_Accion_de_Atencion_Primaria_y_Comunitaria_2025-2027.pdf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49.	</w:t>
      </w:r>
      <w:r>
        <w:rPr>
          <w:rFonts w:ascii="Calibri" w:cs="Calibri" w:eastAsia="Calibri" w:hAnsi="Calibri"/>
          <w:sz w:val="18"/>
          <w:szCs w:val="18"/>
        </w:rPr>
        <w:t xml:space="preserve">Ministerio de Sanidad. El Consejo Interterritorial aprueba el Plan de Acción de Atención Primaria y Comunitaria 2025-2027 [nota de prensa]. Madrid; 16 de diciembre de 2024. Disponible en: </w:t>
      </w:r>
      <w:hyperlink w:history="1" r:id="rIdjjvi9yircb9fq0usdqpcx">
        <w:r>
          <w:rPr>
            <w:rStyle w:val="Hyperlink"/>
            <w:rFonts w:ascii="Calibri" w:cs="Calibri" w:eastAsia="Calibri" w:hAnsi="Calibri"/>
            <w:sz w:val="18"/>
            <w:szCs w:val="18"/>
          </w:rPr>
          <w:t xml:space="preserve">https://www.sanidad.gob.es/gabinete/notasPrensa.do?id=6591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50.	</w:t>
      </w:r>
      <w:r>
        <w:rPr>
          <w:rFonts w:ascii="Calibri" w:cs="Calibri" w:eastAsia="Calibri" w:hAnsi="Calibri"/>
          <w:sz w:val="18"/>
          <w:szCs w:val="18"/>
        </w:rPr>
        <w:t xml:space="preserve">Ministerio de Sanidad, Servicios Sociales e Igualdad. Estrategia para el Abordaje de la Cronicidad en el Sistema Nacional de Salud. Madrid: Ministerio de Sanidad, Servicios Sociales e Igualdad; 2012. Disponible en: </w:t>
      </w:r>
      <w:hyperlink w:history="1" r:id="rIdneotrqbbavqpdsoaesltr">
        <w:r>
          <w:rPr>
            <w:rStyle w:val="Hyperlink"/>
            <w:rFonts w:ascii="Calibri" w:cs="Calibri" w:eastAsia="Calibri" w:hAnsi="Calibri"/>
            <w:sz w:val="18"/>
            <w:szCs w:val="18"/>
          </w:rPr>
          <w:t xml:space="preserve">https://www.sanidad.gob.es/areas/calidadAsistencial/estrategias/abordajeCronicidad/docs/ESTRATEGIA_ABORDAJE_CRONICIDAD.pdf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51.	</w:t>
      </w:r>
      <w:r>
        <w:rPr>
          <w:rFonts w:ascii="Calibri" w:cs="Calibri" w:eastAsia="Calibri" w:hAnsi="Calibri"/>
          <w:sz w:val="18"/>
          <w:szCs w:val="18"/>
        </w:rPr>
        <w:t xml:space="preserve">Ministerio de Sanidad, Servicios Sociales e Igualdad. Estrategia de Promoción de la Salud y Prevención en el Sistema Nacional de Salud. Madrid: Ministerio de Sanidad, Servicios Sociales e Igualdad; 2013. Disponible en: </w:t>
      </w:r>
      <w:hyperlink w:history="1" r:id="rIddj3gjyocimxratvbsehel">
        <w:r>
          <w:rPr>
            <w:rStyle w:val="Hyperlink"/>
            <w:rFonts w:ascii="Calibri" w:cs="Calibri" w:eastAsia="Calibri" w:hAnsi="Calibri"/>
            <w:sz w:val="18"/>
            <w:szCs w:val="18"/>
          </w:rPr>
          <w:t xml:space="preserve">https://www.sanidad.gob.es/areas/promocionPrevencion/estrategiaSNS/docs/EstrategiaPromocionSaludyPrevencionSNS.pdf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52.	</w:t>
      </w:r>
      <w:r>
        <w:rPr>
          <w:rFonts w:ascii="Calibri" w:cs="Calibri" w:eastAsia="Calibri" w:hAnsi="Calibri"/>
          <w:sz w:val="18"/>
          <w:szCs w:val="18"/>
        </w:rPr>
        <w:t xml:space="preserve">Ministerio de Sanidad. Estrategia de Salud Digital del Sistema Nacional de Salud. Madrid: Ministerio de Sanidad; 2021. Disponible en: </w:t>
      </w:r>
      <w:hyperlink w:history="1" r:id="rIddfoonxudr_xrljcbmg9bz">
        <w:r>
          <w:rPr>
            <w:rStyle w:val="Hyperlink"/>
            <w:rFonts w:ascii="Calibri" w:cs="Calibri" w:eastAsia="Calibri" w:hAnsi="Calibri"/>
            <w:sz w:val="18"/>
            <w:szCs w:val="18"/>
          </w:rPr>
          <w:t xml:space="preserve">https://www.sanidad.gob.es/areas/saludDigital/doc/Estrategia_de_Salud_Digital_del_SNS.pdf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53.	</w:t>
      </w:r>
      <w:r>
        <w:rPr>
          <w:rFonts w:ascii="Calibri" w:cs="Calibri" w:eastAsia="Calibri" w:hAnsi="Calibri"/>
          <w:sz w:val="18"/>
          <w:szCs w:val="18"/>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w:history="1" r:id="rId0v8xm3kmzs4mouha-sgjc">
        <w:r>
          <w:rPr>
            <w:rStyle w:val="Hyperlink"/>
            <w:rFonts w:ascii="Calibri" w:cs="Calibri" w:eastAsia="Calibri" w:hAnsi="Calibri"/>
            <w:sz w:val="18"/>
            <w:szCs w:val="18"/>
          </w:rPr>
          <w:t xml:space="preserve">https://www.boe.es/buscar/act.php?id=BOE-A-2019-15604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54.	</w:t>
      </w:r>
      <w:r>
        <w:rPr>
          <w:rFonts w:ascii="Calibri" w:cs="Calibri" w:eastAsia="Calibri" w:hAnsi="Calibri"/>
          <w:sz w:val="18"/>
          <w:szCs w:val="18"/>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w:history="1" r:id="rIdflptzopumhxtub-b8npth">
        <w:r>
          <w:rPr>
            <w:rStyle w:val="Hyperlink"/>
            <w:rFonts w:ascii="Calibri" w:cs="Calibri" w:eastAsia="Calibri" w:hAnsi="Calibri"/>
            <w:sz w:val="18"/>
            <w:szCs w:val="18"/>
          </w:rPr>
          <w:t xml:space="preserve">https://eur-lex.europa.eu/eli/dir/2013/59/oj</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55.	</w:t>
      </w:r>
      <w:r>
        <w:rPr>
          <w:rFonts w:ascii="Calibri" w:cs="Calibri" w:eastAsia="Calibri" w:hAnsi="Calibri"/>
          <w:sz w:val="18"/>
          <w:szCs w:val="18"/>
        </w:rPr>
        <w:t xml:space="preserve">Long J. European region of the WCPT statement on physiotherapy in primary care. Prim Health Care Res Dev. 2019;20:e147. PMID: 31679552. </w:t>
      </w:r>
      <w:hyperlink w:history="1" r:id="rIdfafwu-c_mtxwtfozfqbfa">
        <w:r>
          <w:rPr>
            <w:rStyle w:val="Hyperlink"/>
            <w:rFonts w:ascii="Calibri" w:cs="Calibri" w:eastAsia="Calibri" w:hAnsi="Calibri"/>
            <w:sz w:val="18"/>
            <w:szCs w:val="18"/>
          </w:rPr>
          <w:t xml:space="preserve">doi:10.1017/S1463423619000811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56.	</w:t>
      </w:r>
      <w:r>
        <w:rPr>
          <w:rFonts w:ascii="Calibri" w:cs="Calibri" w:eastAsia="Calibri" w:hAnsi="Calibri"/>
          <w:sz w:val="18"/>
          <w:szCs w:val="18"/>
        </w:rPr>
        <w:t xml:space="preserve">Ministerio de Sanidad. Informe monográfico. Recursos humanos, ordenación profesional y formación continuada en el Sistema Nacional de Salud. Informe Anual del Sistema Nacional de Salud 2024. Madrid: Ministerio de Sanidad; 2025. Disponible en: </w:t>
      </w:r>
      <w:hyperlink w:history="1" r:id="rIdmquc37w1bazxj_2ssopph">
        <w:r>
          <w:rPr>
            <w:rStyle w:val="Hyperlink"/>
            <w:rFonts w:ascii="Calibri" w:cs="Calibri" w:eastAsia="Calibri" w:hAnsi="Calibri"/>
            <w:sz w:val="18"/>
            <w:szCs w:val="18"/>
          </w:rPr>
          <w:t xml:space="preserve">https://www.sanidad.gob.es/estadEstudios/estadisticas/sisInfSanSNS/tablasEstadisticas/InfAnual2024/Monografico_RRHH_2024.pdf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57.	</w:t>
      </w:r>
      <w:r>
        <w:rPr>
          <w:rFonts w:ascii="Calibri" w:cs="Calibri" w:eastAsia="Calibri" w:hAnsi="Calibri"/>
          <w:sz w:val="18"/>
          <w:szCs w:val="18"/>
        </w:rPr>
        <w:t xml:space="preserve">Aiguadé Aiguadé R. La hora de la Atención Primaria [editorial]. Fisioterapia. 2022;44(4):199-200. </w:t>
      </w:r>
      <w:hyperlink w:history="1" r:id="rIdjvkmv3zlwimwk_b9orlqp">
        <w:r>
          <w:rPr>
            <w:rStyle w:val="Hyperlink"/>
            <w:rFonts w:ascii="Calibri" w:cs="Calibri" w:eastAsia="Calibri" w:hAnsi="Calibri"/>
            <w:sz w:val="18"/>
            <w:szCs w:val="18"/>
          </w:rPr>
          <w:t xml:space="preserve">doi:10.1016/j.ft.2022.03.002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58.	</w:t>
      </w:r>
      <w:r>
        <w:rPr>
          <w:rFonts w:ascii="Calibri" w:cs="Calibri" w:eastAsia="Calibri" w:hAnsi="Calibri"/>
          <w:sz w:val="18"/>
          <w:szCs w:val="18"/>
        </w:rPr>
        <w:t xml:space="preserve">Departament de Salut. Programa d'incorporació de fisioterapeutes per a la promoció del funcionament i la prevenció de la discapacitat a l'atenció primària i comunitària. Barcelona: Generalitat de Catalunya; 2022. Disponible en: </w:t>
      </w:r>
      <w:hyperlink w:history="1" r:id="rIdrtdb-hu0fw48zugwwfn76">
        <w:r>
          <w:rPr>
            <w:rStyle w:val="Hyperlink"/>
            <w:rFonts w:ascii="Calibri" w:cs="Calibri" w:eastAsia="Calibri" w:hAnsi="Calibri"/>
            <w:sz w:val="18"/>
            <w:szCs w:val="18"/>
          </w:rPr>
          <w:t xml:space="preserve">https://salutweb.gencat.cat/ca/departament/ambits-estrategics/atencio-primaria-comunitaria/projectes/programa-incorporacio-fisioterapeutes/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59.	</w:t>
      </w:r>
      <w:r>
        <w:rPr>
          <w:rFonts w:ascii="Calibri" w:cs="Calibri" w:eastAsia="Calibri" w:hAnsi="Calibri"/>
          <w:sz w:val="18"/>
          <w:szCs w:val="18"/>
        </w:rPr>
        <w:t xml:space="preserve">Departament de Salut. Pla funcional del Programa d'incorporació de fisioterapeutes a l'atenció primària i comunitària. Barcelona: Generalitat de Catalunya; 2023. Disponible en: </w:t>
      </w:r>
      <w:hyperlink w:history="1" r:id="rIdj_zambcinhyitrkqb1rdq">
        <w:r>
          <w:rPr>
            <w:rStyle w:val="Hyperlink"/>
            <w:rFonts w:ascii="Calibri" w:cs="Calibri" w:eastAsia="Calibri" w:hAnsi="Calibri"/>
            <w:sz w:val="18"/>
            <w:szCs w:val="18"/>
          </w:rPr>
          <w:t xml:space="preserve">https://scientiasalut.gencat.cat/handle/11351/9106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60.	</w:t>
      </w:r>
      <w:r>
        <w:rPr>
          <w:rFonts w:ascii="Calibri" w:cs="Calibri" w:eastAsia="Calibri" w:hAnsi="Calibri"/>
          <w:sz w:val="18"/>
          <w:szCs w:val="18"/>
        </w:rPr>
        <w:t xml:space="preserve">Ministerio de Sanidad. Sistema de Información de Atención Primaria (SIAP). Profesionales [consulta interactiva]. Disponible en: </w:t>
      </w:r>
      <w:hyperlink w:history="1" r:id="rIdge2nebusa8acsdjnyoyhw">
        <w:r>
          <w:rPr>
            <w:rStyle w:val="Hyperlink"/>
            <w:rFonts w:ascii="Calibri" w:cs="Calibri" w:eastAsia="Calibri" w:hAnsi="Calibri"/>
            <w:sz w:val="18"/>
            <w:szCs w:val="18"/>
          </w:rPr>
          <w:t xml:space="preserve">https://pestadistico.inteligenciadegestion.sanidad.gob.es/publicoSNS/S/sistema-de-informacion-de-atencion-primaria-siap</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61.	</w:t>
      </w:r>
      <w:r>
        <w:rPr>
          <w:rFonts w:ascii="Calibri" w:cs="Calibri" w:eastAsia="Calibri" w:hAnsi="Calibri"/>
          <w:sz w:val="18"/>
          <w:szCs w:val="18"/>
        </w:rPr>
        <w:t xml:space="preserve">Servicio Andaluz de Salud. Cartera de servicios de atención primaria. IV. Otros servicios. 2.3 Fisioterapia [página web]. Disponible en: </w:t>
      </w:r>
      <w:hyperlink w:history="1" r:id="rIduc-paurovcev1osvgemr3">
        <w:r>
          <w:rPr>
            <w:rStyle w:val="Hyperlink"/>
            <w:rFonts w:ascii="Calibri" w:cs="Calibri" w:eastAsia="Calibri" w:hAnsi="Calibri"/>
            <w:sz w:val="18"/>
            <w:szCs w:val="18"/>
          </w:rPr>
          <w:t xml:space="preserve">https://www.sspa.juntadeandalucia.es/servicioandaluzdesalud/profesionales/cartera-de-servicios/atencion-primaria/iv-otros-servicios/2-otros-servicios-prestados-en-dispositivos-de-apoyo/23-fisioterapia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62.	</w:t>
      </w:r>
      <w:r>
        <w:rPr>
          <w:rFonts w:ascii="Calibri" w:cs="Calibri" w:eastAsia="Calibri" w:hAnsi="Calibri"/>
          <w:sz w:val="18"/>
          <w:szCs w:val="18"/>
        </w:rPr>
        <w:t xml:space="preserve">Servicio Andaluz de Salud. Sanidad implanta la derivación desde Atención Primaria a Fisioterapia en toda Andalucía [nota de prensa]. Sevilla; 26 de mayo de 2026. Disponible en: </w:t>
      </w:r>
      <w:hyperlink w:history="1" r:id="rIdtfpnothqj3u96rbyaqqjl">
        <w:r>
          <w:rPr>
            <w:rStyle w:val="Hyperlink"/>
            <w:rFonts w:ascii="Calibri" w:cs="Calibri" w:eastAsia="Calibri" w:hAnsi="Calibri"/>
            <w:sz w:val="18"/>
            <w:szCs w:val="18"/>
          </w:rPr>
          <w:t xml:space="preserve">https://www.sspa.juntadeandalucia.es/servicioandaluzdesalud/todas-noticia/sanidad-implanta-la-derivacion-desde-atencion-primaria-fisioterapia-en-toda-andalucia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63.	</w:t>
      </w:r>
      <w:r>
        <w:rPr>
          <w:rFonts w:ascii="Calibri" w:cs="Calibri" w:eastAsia="Calibri" w:hAnsi="Calibri"/>
          <w:sz w:val="18"/>
          <w:szCs w:val="18"/>
        </w:rPr>
        <w:t xml:space="preserve">Gobierno de Aragón. Cartera de Servicios de Atención Primaria del Sistema de Salud de Aragón. Zaragoza: Gobierno de Aragón; 2024. Disponible en: </w:t>
      </w:r>
      <w:hyperlink w:history="1" r:id="rId0wcdy94m5gqcwseh4koue">
        <w:r>
          <w:rPr>
            <w:rStyle w:val="Hyperlink"/>
            <w:rFonts w:ascii="Calibri" w:cs="Calibri" w:eastAsia="Calibri" w:hAnsi="Calibri"/>
            <w:sz w:val="18"/>
            <w:szCs w:val="18"/>
          </w:rPr>
          <w:t xml:space="preserve">https://atencioncomunitaria.aragon.es/wp-content/uploads/2024/07/CARTERAATENCIONPRIMARIA.pdf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64.	</w:t>
      </w:r>
      <w:r>
        <w:rPr>
          <w:rFonts w:ascii="Calibri" w:cs="Calibri" w:eastAsia="Calibri" w:hAnsi="Calibri"/>
          <w:sz w:val="18"/>
          <w:szCs w:val="18"/>
        </w:rPr>
        <w:t xml:space="preserve">Gerencia de Atención Primaria de Mallorca. Protocolo de actuación en las patologías de derivación directa en las Unidades de Fisioterapia de Atención Primaria de Mallorca. Palma: Servei de Salut de les Illes Balears; 2023. Disponible en: </w:t>
      </w:r>
      <w:hyperlink w:history="1" r:id="rIduu0mb-xvp_zranjrub1yr">
        <w:r>
          <w:rPr>
            <w:rStyle w:val="Hyperlink"/>
            <w:rFonts w:ascii="Calibri" w:cs="Calibri" w:eastAsia="Calibri" w:hAnsi="Calibri"/>
            <w:sz w:val="18"/>
            <w:szCs w:val="18"/>
          </w:rPr>
          <w:t xml:space="preserve">https://docusalut.com/rest/api/core/bitstreams/6baa0511-9642-47e3-aa79-1202fd49c1ce/content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65.	</w:t>
      </w:r>
      <w:r>
        <w:rPr>
          <w:rFonts w:ascii="Calibri" w:cs="Calibri" w:eastAsia="Calibri" w:hAnsi="Calibri"/>
          <w:sz w:val="18"/>
          <w:szCs w:val="18"/>
        </w:rPr>
        <w:t xml:space="preserve">Servicio Canario de la Salud. Consulta de fisioterapia en Atención Primaria. Guía de actuación. Santa Cruz de Tenerife: Servicio Canario de la Salud; 2022. Disponible en: </w:t>
      </w:r>
      <w:hyperlink w:history="1" r:id="rIdg6xts4o_1wot6kphzcdsq">
        <w:r>
          <w:rPr>
            <w:rStyle w:val="Hyperlink"/>
            <w:rFonts w:ascii="Calibri" w:cs="Calibri" w:eastAsia="Calibri" w:hAnsi="Calibri"/>
            <w:sz w:val="18"/>
            <w:szCs w:val="18"/>
          </w:rPr>
          <w:t xml:space="preserve">https://www3.gobiernodecanarias.org/sanidad/scs/listaImagenes.jsp?idCarpeta=46a3e0a2-75c8-11e2-bc0c-6512fc1bab5e&amp;idDocument=046b7b81-75d6-11e2-bc0c-6512fc1bab5e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66.	</w:t>
      </w:r>
      <w:r>
        <w:rPr>
          <w:rFonts w:ascii="Calibri" w:cs="Calibri" w:eastAsia="Calibri" w:hAnsi="Calibri"/>
          <w:sz w:val="18"/>
          <w:szCs w:val="18"/>
        </w:rPr>
        <w:t xml:space="preserve">Gobierno de Canarias. Sanidad despliega servicio de fisioterapia en 24 zonas básicas de Gran Canaria, Tenerife, Lanzarote y Fuerteventura [nota de prensa]. 19 de septiembre de 2022. Disponible en: </w:t>
      </w:r>
      <w:hyperlink w:history="1" r:id="rIdvohqyljnexwgm7r5lzghk">
        <w:r>
          <w:rPr>
            <w:rStyle w:val="Hyperlink"/>
            <w:rFonts w:ascii="Calibri" w:cs="Calibri" w:eastAsia="Calibri" w:hAnsi="Calibri"/>
            <w:sz w:val="18"/>
            <w:szCs w:val="18"/>
          </w:rPr>
          <w:t xml:space="preserve">https://www3.gobiernodecanarias.org/noticias/sanidad-despliega-servicio-de-fisioterapia-en-24-zonas-basicas-de-gran-canaria-tenerife-lanzarote-y-fuerteventura/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67.	</w:t>
      </w:r>
      <w:r>
        <w:rPr>
          <w:rFonts w:ascii="Calibri" w:cs="Calibri" w:eastAsia="Calibri" w:hAnsi="Calibri"/>
          <w:sz w:val="18"/>
          <w:szCs w:val="18"/>
        </w:rPr>
        <w:t xml:space="preserve">Servicio de Salud de Castilla-La Mancha. Guía de Unidades de Fisioterapia de Atención Primaria. Toledo: SESCAM; 2022. Disponible en: </w:t>
      </w:r>
      <w:hyperlink w:history="1" r:id="rIdahccpso-rkchgplpqhxpv">
        <w:r>
          <w:rPr>
            <w:rStyle w:val="Hyperlink"/>
            <w:rFonts w:ascii="Calibri" w:cs="Calibri" w:eastAsia="Calibri" w:hAnsi="Calibri"/>
            <w:sz w:val="18"/>
            <w:szCs w:val="18"/>
          </w:rPr>
          <w:t xml:space="preserve">https://castillalamancha.es/actualidad/notasdeprensa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68.	</w:t>
      </w:r>
      <w:r>
        <w:rPr>
          <w:rFonts w:ascii="Calibri" w:cs="Calibri" w:eastAsia="Calibri" w:hAnsi="Calibri"/>
          <w:sz w:val="18"/>
          <w:szCs w:val="18"/>
        </w:rPr>
        <w:t xml:space="preserve">Junta de Castilla y León. Protocolos de fisioterapia en atención primaria. Valladolid: Consejería de Sanidad; 2017. Disponible en: </w:t>
      </w:r>
      <w:hyperlink w:history="1" r:id="rId7yot0e9ewsbz6z0isbxtj">
        <w:r>
          <w:rPr>
            <w:rStyle w:val="Hyperlink"/>
            <w:rFonts w:ascii="Calibri" w:cs="Calibri" w:eastAsia="Calibri" w:hAnsi="Calibri"/>
            <w:sz w:val="18"/>
            <w:szCs w:val="18"/>
          </w:rPr>
          <w:t xml:space="preserve">https://www.saludcastillayleon.es/profesionales/es/programas-guias-clinicas/guias-practica-clinica/guias-clinicas.ficheros/1105660-Fisioterapia.PDF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69.	</w:t>
      </w:r>
      <w:r>
        <w:rPr>
          <w:rFonts w:ascii="Calibri" w:cs="Calibri" w:eastAsia="Calibri" w:hAnsi="Calibri"/>
          <w:sz w:val="18"/>
          <w:szCs w:val="18"/>
        </w:rPr>
        <w:t xml:space="preserve">Conselleria de Sanitat. Cartera de servicios de Atención Primaria Comunitaria. Plan de Acción de Atención Primaria y Comunitaria 2022-2023. València: Generalitat Valenciana; 2022. Disponible en: </w:t>
      </w:r>
      <w:hyperlink w:history="1" r:id="rIdsrjljxgggkibtyk8fpuf1">
        <w:r>
          <w:rPr>
            <w:rStyle w:val="Hyperlink"/>
            <w:rFonts w:ascii="Calibri" w:cs="Calibri" w:eastAsia="Calibri" w:hAnsi="Calibri"/>
            <w:sz w:val="18"/>
            <w:szCs w:val="18"/>
          </w:rPr>
          <w:t xml:space="preserve">https://www.san.gva.es/documents/d/assistencia-sanitaria/2_cartera_servicios_atencion_primaria_comunitaria_resumida_es-pdf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70.	</w:t>
      </w:r>
      <w:r>
        <w:rPr>
          <w:rFonts w:ascii="Calibri" w:cs="Calibri" w:eastAsia="Calibri" w:hAnsi="Calibri"/>
          <w:sz w:val="18"/>
          <w:szCs w:val="18"/>
        </w:rPr>
        <w:t xml:space="preserve">Área de Salud de Plasencia. Protocolo de derivación a las unidades de fisioterapia y rehabilitación. Plasencia: Servicio Extremeño de Salud; 2019. Disponible en: </w:t>
      </w:r>
      <w:hyperlink w:history="1" r:id="rIdvz78hjr9qyion7xlxwqwb">
        <w:r>
          <w:rPr>
            <w:rStyle w:val="Hyperlink"/>
            <w:rFonts w:ascii="Calibri" w:cs="Calibri" w:eastAsia="Calibri" w:hAnsi="Calibri"/>
            <w:sz w:val="18"/>
            <w:szCs w:val="18"/>
          </w:rPr>
          <w:t xml:space="preserve">https://www.areasaludplasencia.es/docs/pgc/ses_plasencia_derivacion_fisioterapia_rehabilitacion.pdf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71.	</w:t>
      </w:r>
      <w:r>
        <w:rPr>
          <w:rFonts w:ascii="Calibri" w:cs="Calibri" w:eastAsia="Calibri" w:hAnsi="Calibri"/>
          <w:sz w:val="18"/>
          <w:szCs w:val="18"/>
        </w:rPr>
        <w:t xml:space="preserve">Servizo Galego de Saúde. Carteira de servizos de fisioterapia de atención primaria e comunitaria. Santiago de Compostela: SERGAS. Disponible en: </w:t>
      </w:r>
      <w:hyperlink w:history="1" r:id="rIduepri5aun0htvkyag6eog">
        <w:r>
          <w:rPr>
            <w:rStyle w:val="Hyperlink"/>
            <w:rFonts w:ascii="Calibri" w:cs="Calibri" w:eastAsia="Calibri" w:hAnsi="Calibri"/>
            <w:sz w:val="18"/>
            <w:szCs w:val="18"/>
          </w:rPr>
          <w:t xml:space="preserve">https://www.sergas.gal/Asistencia-sanitaria/Documents/1795/Carteira_Unidades_de_fisioterapia_de_atencion_primaria.pdf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72.	</w:t>
      </w:r>
      <w:r>
        <w:rPr>
          <w:rFonts w:ascii="Calibri" w:cs="Calibri" w:eastAsia="Calibri" w:hAnsi="Calibri"/>
          <w:sz w:val="18"/>
          <w:szCs w:val="18"/>
        </w:rPr>
        <w:t xml:space="preserve">Servicio Madrileño de Salud, Gerencia Asistencial de Atención Primaria. Cartera de Servicios Estandarizados de Atención Primaria de Madrid. Actualización 2510. Madrid: Comunidad de Madrid; 2025. Disponible en: </w:t>
      </w:r>
      <w:hyperlink w:history="1" r:id="rIdkmeji3cdkltvihjoaojo_">
        <w:r>
          <w:rPr>
            <w:rStyle w:val="Hyperlink"/>
            <w:rFonts w:ascii="Calibri" w:cs="Calibri" w:eastAsia="Calibri" w:hAnsi="Calibri"/>
            <w:sz w:val="18"/>
            <w:szCs w:val="18"/>
          </w:rPr>
          <w:t xml:space="preserve">https://www.comunidad.madrid/hospital/atencionprimaria/sites/atencionprimaria/files/2025-10/Cartera%20de%20Servicios%20Estandarizados%20AP.%20Actualizaci%C3%B3n%202510.pdf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73.	</w:t>
      </w:r>
      <w:r>
        <w:rPr>
          <w:rFonts w:ascii="Calibri" w:cs="Calibri" w:eastAsia="Calibri" w:hAnsi="Calibri"/>
          <w:sz w:val="18"/>
          <w:szCs w:val="18"/>
        </w:rPr>
        <w:t xml:space="preserve">Servicio Murciano de Salud. El SMS aprueba la cartera de servicios de fisioterapia en Atención Primaria [nota de prensa]. Murcia; 6 de abril de 2026. Disponible en: </w:t>
      </w:r>
      <w:hyperlink w:history="1" r:id="rIdc7b45kznp539zs1jo1iem">
        <w:r>
          <w:rPr>
            <w:rStyle w:val="Hyperlink"/>
            <w:rFonts w:ascii="Calibri" w:cs="Calibri" w:eastAsia="Calibri" w:hAnsi="Calibri"/>
            <w:sz w:val="18"/>
            <w:szCs w:val="18"/>
          </w:rPr>
          <w:t xml:space="preserve">https://www.murciasalud.es/en/-/el-sms-aprueba-la-cartera-de-servicios-de-fisioterapia-en-atenci%C3%B3n-primaria-para-mejorar-la-atenci%C3%B3n-de-los-pacientes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74.	</w:t>
      </w:r>
      <w:r>
        <w:rPr>
          <w:rFonts w:ascii="Calibri" w:cs="Calibri" w:eastAsia="Calibri" w:hAnsi="Calibri"/>
          <w:sz w:val="18"/>
          <w:szCs w:val="18"/>
        </w:rPr>
        <w:t xml:space="preserve">Servicio Navarro de Salud. Formación a fisioterapeutas de nueva incorporación en atención primaria, tercera edición [actividad formativa]. Disponible en: </w:t>
      </w:r>
      <w:hyperlink w:history="1" r:id="rIdl44zt3j_hfsnzczwo9oe3">
        <w:r>
          <w:rPr>
            <w:rStyle w:val="Hyperlink"/>
            <w:rFonts w:ascii="Calibri" w:cs="Calibri" w:eastAsia="Calibri" w:hAnsi="Calibri"/>
            <w:sz w:val="18"/>
            <w:szCs w:val="18"/>
          </w:rPr>
          <w:t xml:space="preserve">https://www.formacionsalud.navarra.es/actividad/idactividad/7576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75.	</w:t>
      </w:r>
      <w:r>
        <w:rPr>
          <w:rFonts w:ascii="Calibri" w:cs="Calibri" w:eastAsia="Calibri" w:hAnsi="Calibri"/>
          <w:sz w:val="18"/>
          <w:szCs w:val="18"/>
        </w:rPr>
        <w:t xml:space="preserve">Gobierno Vasco, Irekia. La Fisioterapia de Atención Primaria de Osakidetza ha atendido ya a más de 8.600 pacientes en el primer semestre [nota de prensa]. 2024. Disponible en: </w:t>
      </w:r>
      <w:hyperlink w:history="1" r:id="rId8j0wfphmbz_uznqar5gyw">
        <w:r>
          <w:rPr>
            <w:rStyle w:val="Hyperlink"/>
            <w:rFonts w:ascii="Calibri" w:cs="Calibri" w:eastAsia="Calibri" w:hAnsi="Calibri"/>
            <w:sz w:val="18"/>
            <w:szCs w:val="18"/>
          </w:rPr>
          <w:t xml:space="preserve">https://www.irekia.euskadi.eus/es/news/95370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76.	</w:t>
      </w:r>
      <w:r>
        <w:rPr>
          <w:rFonts w:ascii="Calibri" w:cs="Calibri" w:eastAsia="Calibri" w:hAnsi="Calibri"/>
          <w:sz w:val="18"/>
          <w:szCs w:val="18"/>
        </w:rPr>
        <w:t xml:space="preserve">Agencia Gallega de Conocimiento en Salud (ACIS). Informe sobre el diseño del sistema de citación XIDE (Gestión Integral de la Demanda en Equipo) en el Servicio Gallego de Salud y los resultados de su implementación. Santiago de Compostela: Servizo Galego de Saúde; 2023. Disponible en: </w:t>
      </w:r>
      <w:hyperlink w:history="1" r:id="rIdpi7ov3sio-ggeos3fu7wz">
        <w:r>
          <w:rPr>
            <w:rStyle w:val="Hyperlink"/>
            <w:rFonts w:ascii="Calibri" w:cs="Calibri" w:eastAsia="Calibri" w:hAnsi="Calibri"/>
            <w:sz w:val="18"/>
            <w:szCs w:val="18"/>
          </w:rPr>
          <w:t xml:space="preserve">https://acis.sergas.gal/cartafol/InformeXide2023?idioma=es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77.	</w:t>
      </w:r>
      <w:r>
        <w:rPr>
          <w:rFonts w:ascii="Calibri" w:cs="Calibri" w:eastAsia="Calibri" w:hAnsi="Calibri"/>
          <w:sz w:val="18"/>
          <w:szCs w:val="18"/>
        </w:rPr>
        <w:t xml:space="preserve">Redacción Médica. Los fisioterapeutas del Sergas podrán atender a pacientes bajo demanda. 6 de abril de 2022. Disponible en: </w:t>
      </w:r>
      <w:hyperlink w:history="1" r:id="rId-o1wjdoqm5kxwsx08sr8o">
        <w:r>
          <w:rPr>
            <w:rStyle w:val="Hyperlink"/>
            <w:rFonts w:ascii="Calibri" w:cs="Calibri" w:eastAsia="Calibri" w:hAnsi="Calibri"/>
            <w:sz w:val="18"/>
            <w:szCs w:val="18"/>
          </w:rPr>
          <w:t xml:space="preserve">https://www.redaccionmedica.com/autonomias/galicia/los-fisioterapeutas-del-sergas-podran-atender-a-pacientes-bajo-demanda-7761</w:t>
        </w:r>
      </w:hyperlink>
      <w:r>
        <w:rPr>
          <w:rFonts w:ascii="Calibri" w:cs="Calibri" w:eastAsia="Calibri" w:hAnsi="Calibri"/>
          <w:sz w:val="18"/>
          <w:szCs w:val="18"/>
        </w:rPr>
        <w:t xml:space="preserve">. Fuente secundaria.</w:t>
      </w:r>
    </w:p>
    <w:p>
      <w:pPr>
        <w:tabs>
          <w:tab w:val="left" w:pos="567"/>
        </w:tabs>
        <w:spacing w:after="80"/>
        <w:ind w:left="567" w:hanging="567"/>
      </w:pPr>
      <w:r>
        <w:rPr>
          <w:rFonts w:ascii="Calibri" w:cs="Calibri" w:eastAsia="Calibri" w:hAnsi="Calibri"/>
          <w:sz w:val="18"/>
          <w:szCs w:val="18"/>
        </w:rPr>
        <w:t xml:space="preserve">78.	</w:t>
      </w:r>
      <w:r>
        <w:rPr>
          <w:rFonts w:ascii="Calibri" w:cs="Calibri" w:eastAsia="Calibri" w:hAnsi="Calibri"/>
          <w:sz w:val="18"/>
          <w:szCs w:val="18"/>
        </w:rPr>
        <w:t xml:space="preserve">Comunidad de Madrid. Unidades de atención específica: fisioterapia [página web]. Disponible en: </w:t>
      </w:r>
      <w:hyperlink w:history="1" r:id="rId31maqkelijbi1inqaa741">
        <w:r>
          <w:rPr>
            <w:rStyle w:val="Hyperlink"/>
            <w:rFonts w:ascii="Calibri" w:cs="Calibri" w:eastAsia="Calibri" w:hAnsi="Calibri"/>
            <w:sz w:val="18"/>
            <w:szCs w:val="18"/>
          </w:rPr>
          <w:t xml:space="preserve">https://www.comunidad.madrid/hospital/atencionprimaria/ciudadanos/unidades-atencion-especifica-fisioterapia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79.	</w:t>
      </w:r>
      <w:r>
        <w:rPr>
          <w:rFonts w:ascii="Calibri" w:cs="Calibri" w:eastAsia="Calibri" w:hAnsi="Calibri"/>
          <w:sz w:val="18"/>
          <w:szCs w:val="18"/>
        </w:rPr>
        <w:t xml:space="preserve">Colegio Profesional de Fisioterapeutas de la Comunidad de Madrid. Replanteamiento del papel de la fisioterapia en la Gerencia Asistencial de Atención Primaria de la Comunidad de Madrid [propuesta de proyecto piloto, versión 2]. Madrid: CPFCM; enero de 2026. Documento de trabajo no publicado.</w:t>
      </w:r>
    </w:p>
    <w:p>
      <w:pPr>
        <w:tabs>
          <w:tab w:val="left" w:pos="567"/>
        </w:tabs>
        <w:spacing w:after="80"/>
        <w:ind w:left="567" w:hanging="567"/>
      </w:pPr>
      <w:r>
        <w:rPr>
          <w:rFonts w:ascii="Calibri" w:cs="Calibri" w:eastAsia="Calibri" w:hAnsi="Calibri"/>
          <w:sz w:val="18"/>
          <w:szCs w:val="18"/>
        </w:rPr>
        <w:t xml:space="preserve">80.	</w:t>
      </w:r>
      <w:r>
        <w:rPr>
          <w:rFonts w:ascii="Calibri" w:cs="Calibri" w:eastAsia="Calibri" w:hAnsi="Calibri"/>
          <w:sz w:val="18"/>
          <w:szCs w:val="18"/>
        </w:rPr>
        <w:t xml:space="preserve">Moreno Carrero P. Memoria de gestión para referente de fisioterapia de la Dirección Asistencial Sureste de la Gerencia Asistencial de Atención Primaria del Servicio Madrileño de Salud [trabajo fin de máster]. Logroño: Universidad Internacional de La Rioja; 2024. Trabajo fin de máster no publicado.</w:t>
      </w:r>
    </w:p>
    <w:p>
      <w:pPr>
        <w:tabs>
          <w:tab w:val="left" w:pos="567"/>
        </w:tabs>
        <w:spacing w:after="80"/>
        <w:ind w:left="567" w:hanging="567"/>
      </w:pPr>
      <w:r>
        <w:rPr>
          <w:rFonts w:ascii="Calibri" w:cs="Calibri" w:eastAsia="Calibri" w:hAnsi="Calibri"/>
          <w:sz w:val="18"/>
          <w:szCs w:val="18"/>
        </w:rPr>
        <w:t xml:space="preserve">81.	</w:t>
      </w:r>
      <w:r>
        <w:rPr>
          <w:rFonts w:ascii="Calibri" w:cs="Calibri" w:eastAsia="Calibri" w:hAnsi="Calibri"/>
          <w:sz w:val="18"/>
          <w:szCs w:val="18"/>
        </w:rPr>
        <w:t xml:space="preserve">NHS. The NHS Long Term Plan. Londres: NHS; 2019. Disponible en: </w:t>
      </w:r>
      <w:hyperlink w:history="1" r:id="rIdema7o7ge_-ji2ao1yt2mo">
        <w:r>
          <w:rPr>
            <w:rStyle w:val="Hyperlink"/>
            <w:rFonts w:ascii="Calibri" w:cs="Calibri" w:eastAsia="Calibri" w:hAnsi="Calibri"/>
            <w:sz w:val="18"/>
            <w:szCs w:val="18"/>
          </w:rPr>
          <w:t xml:space="preserve">https://www.longtermplan.nhs.uk/online-version/chapter-1-a-new-service-model-for-the-21st-century/</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82.	</w:t>
      </w:r>
      <w:r>
        <w:rPr>
          <w:rFonts w:ascii="Calibri" w:cs="Calibri" w:eastAsia="Calibri" w:hAnsi="Calibri"/>
          <w:sz w:val="18"/>
          <w:szCs w:val="18"/>
        </w:rPr>
        <w:t xml:space="preserve">NHS England. Network Contract Directed Enhanced Service. Additional Roles Reimbursement Scheme guidance. Londres: NHS England; 2019. Disponible en: </w:t>
      </w:r>
      <w:hyperlink w:history="1" r:id="rIdi8uqai4id_bxmla5li0cn">
        <w:r>
          <w:rPr>
            <w:rStyle w:val="Hyperlink"/>
            <w:rFonts w:ascii="Calibri" w:cs="Calibri" w:eastAsia="Calibri" w:hAnsi="Calibri"/>
            <w:sz w:val="18"/>
            <w:szCs w:val="18"/>
          </w:rPr>
          <w:t xml:space="preserve">https://www.england.nhs.uk/wp-content/uploads/2019/12/network-contract-des-additional-roles-reimbursement-scheme-guidance-december2019.pdf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83.	</w:t>
      </w:r>
      <w:r>
        <w:rPr>
          <w:rFonts w:ascii="Calibri" w:cs="Calibri" w:eastAsia="Calibri" w:hAnsi="Calibri"/>
          <w:sz w:val="18"/>
          <w:szCs w:val="18"/>
        </w:rPr>
        <w:t xml:space="preserve">Health Education England. First Contact Practitioners and Advanced Practitioners in Primary Care: (Musculoskeletal). A Roadmap to Practice. Londres: Health Education England; 2020. Disponible en: </w:t>
      </w:r>
      <w:hyperlink w:history="1" r:id="rIdfqdu1oqqamj4nk-uudifk">
        <w:r>
          <w:rPr>
            <w:rStyle w:val="Hyperlink"/>
            <w:rFonts w:ascii="Calibri" w:cs="Calibri" w:eastAsia="Calibri" w:hAnsi="Calibri"/>
            <w:sz w:val="18"/>
            <w:szCs w:val="18"/>
          </w:rPr>
          <w:t xml:space="preserve">https://www.hee.nhs.uk/our-work/allied-health-professions/enable-workforce/roadmaps-practice/first-contact-practitioners-roadmaps-practice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84.	</w:t>
      </w:r>
      <w:r>
        <w:rPr>
          <w:rFonts w:ascii="Calibri" w:cs="Calibri" w:eastAsia="Calibri" w:hAnsi="Calibri"/>
          <w:sz w:val="18"/>
          <w:szCs w:val="18"/>
        </w:rPr>
        <w:t xml:space="preserve">Chartered Society of Physiotherapy, British Medical Association, Royal College of General Practitioners. First Contact Physiotherapy posts in General Practice. A guide for implementation in England. Londres: CSP; 2018. Disponible en: </w:t>
      </w:r>
      <w:hyperlink w:history="1" r:id="rId_omovwjt9pvxs6ucubkpe">
        <w:r>
          <w:rPr>
            <w:rStyle w:val="Hyperlink"/>
            <w:rFonts w:ascii="Calibri" w:cs="Calibri" w:eastAsia="Calibri" w:hAnsi="Calibri"/>
            <w:sz w:val="18"/>
            <w:szCs w:val="18"/>
          </w:rPr>
          <w:t xml:space="preserve">https://www.csp.org.uk/system/files/001404_fcp_guidance_england_2018.pdf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85.	</w:t>
      </w:r>
      <w:r>
        <w:rPr>
          <w:rFonts w:ascii="Calibri" w:cs="Calibri" w:eastAsia="Calibri" w:hAnsi="Calibri"/>
          <w:sz w:val="18"/>
          <w:szCs w:val="18"/>
        </w:rPr>
        <w:t xml:space="preserve">Robert G, Stevens A. Should general practitioners refer patients directly to physical therapists? Br J Gen Pract. 1997;47(418):314-8. PMID: 9219412. Disponible en: </w:t>
      </w:r>
      <w:hyperlink w:history="1" r:id="rId_aorcge3xsam7-x_j5c4o">
        <w:r>
          <w:rPr>
            <w:rStyle w:val="Hyperlink"/>
            <w:rFonts w:ascii="Calibri" w:cs="Calibri" w:eastAsia="Calibri" w:hAnsi="Calibri"/>
            <w:sz w:val="18"/>
            <w:szCs w:val="18"/>
          </w:rPr>
          <w:t xml:space="preserve">https://pubmed.ncbi.nlm.nih.gov/9219412/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86.	</w:t>
      </w:r>
      <w:r>
        <w:rPr>
          <w:rFonts w:ascii="Calibri" w:cs="Calibri" w:eastAsia="Calibri" w:hAnsi="Calibri"/>
          <w:sz w:val="18"/>
          <w:szCs w:val="18"/>
        </w:rPr>
        <w:t xml:space="preserve">Hensher M. Improving general practitioner access to physiotherapy: a review of the economic evidence. Health Serv Manage Res. 1997;10(4):225-30. PMID: 10174512. </w:t>
      </w:r>
      <w:hyperlink w:history="1" r:id="rId8qmokdxq1xwwbhsmjwqoi">
        <w:r>
          <w:rPr>
            <w:rStyle w:val="Hyperlink"/>
            <w:rFonts w:ascii="Calibri" w:cs="Calibri" w:eastAsia="Calibri" w:hAnsi="Calibri"/>
            <w:sz w:val="18"/>
            <w:szCs w:val="18"/>
          </w:rPr>
          <w:t xml:space="preserve">doi:10.1177/095148489701000403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87.	</w:t>
      </w:r>
      <w:r>
        <w:rPr>
          <w:rFonts w:ascii="Calibri" w:cs="Calibri" w:eastAsia="Calibri" w:hAnsi="Calibri"/>
          <w:sz w:val="18"/>
          <w:szCs w:val="18"/>
        </w:rPr>
        <w:t xml:space="preserve">Goodwin RW, Hendrick PA. Physiotherapy as a first point of contact in general practice: a solution to a growing problem? Prim Health Care Res Dev. 2016;17(5):489-502. PMID: 27263326. </w:t>
      </w:r>
      <w:hyperlink w:history="1" r:id="rIdn2tfo1nv4ahqrmcagv8dc">
        <w:r>
          <w:rPr>
            <w:rStyle w:val="Hyperlink"/>
            <w:rFonts w:ascii="Calibri" w:cs="Calibri" w:eastAsia="Calibri" w:hAnsi="Calibri"/>
            <w:sz w:val="18"/>
            <w:szCs w:val="18"/>
          </w:rPr>
          <w:t xml:space="preserve">doi:10.1017/S1463423616000189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88.	</w:t>
      </w:r>
      <w:r>
        <w:rPr>
          <w:rFonts w:ascii="Calibri" w:cs="Calibri" w:eastAsia="Calibri" w:hAnsi="Calibri"/>
          <w:sz w:val="18"/>
          <w:szCs w:val="18"/>
        </w:rPr>
        <w:t xml:space="preserve">Stynes S, Jordan KP, Hill JC, Wynne-Jones G, Cottrell E, Foster NE, et al. Evaluation of the First Contact Physiotherapy (FCP) model of primary care: patient characteristics and outcomes. Physiotherapy. 2021;113:199-208. PMID: 34656297. </w:t>
      </w:r>
      <w:hyperlink w:history="1" r:id="rId8_gjcfecpfkyeftuu3kqu">
        <w:r>
          <w:rPr>
            <w:rStyle w:val="Hyperlink"/>
            <w:rFonts w:ascii="Calibri" w:cs="Calibri" w:eastAsia="Calibri" w:hAnsi="Calibri"/>
            <w:sz w:val="18"/>
            <w:szCs w:val="18"/>
          </w:rPr>
          <w:t xml:space="preserve">doi:10.1016/j.physio.2021.08.002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89.	</w:t>
      </w:r>
      <w:r>
        <w:rPr>
          <w:rFonts w:ascii="Calibri" w:cs="Calibri" w:eastAsia="Calibri" w:hAnsi="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ssdq_jh21esgohorkt0fd">
        <w:r>
          <w:rPr>
            <w:rStyle w:val="Hyperlink"/>
            <w:rFonts w:ascii="Calibri" w:cs="Calibri" w:eastAsia="Calibri" w:hAnsi="Calibri"/>
            <w:sz w:val="18"/>
            <w:szCs w:val="18"/>
          </w:rPr>
          <w:t xml:space="preserve">doi:10.1002/msc.1599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90.	</w:t>
      </w:r>
      <w:r>
        <w:rPr>
          <w:rFonts w:ascii="Calibri" w:cs="Calibri" w:eastAsia="Calibri" w:hAnsi="Calibri"/>
          <w:sz w:val="18"/>
          <w:szCs w:val="18"/>
        </w:rPr>
        <w:t xml:space="preserve">Goodwin R, Moffatt F, Hendrick P, Stynes S, Bishop A, Logan P. Evaluation of the First Contact Physiotherapy (FCP) model of primary care: a qualitative insight. Physiotherapy. 2021;113:209-216. PMID: 34583834. </w:t>
      </w:r>
      <w:hyperlink w:history="1" r:id="rIdgj1da44t1zm7xq7m38zt2">
        <w:r>
          <w:rPr>
            <w:rStyle w:val="Hyperlink"/>
            <w:rFonts w:ascii="Calibri" w:cs="Calibri" w:eastAsia="Calibri" w:hAnsi="Calibri"/>
            <w:sz w:val="18"/>
            <w:szCs w:val="18"/>
          </w:rPr>
          <w:t xml:space="preserve">doi:10.1016/j.physio.2021.08.003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91.	</w:t>
      </w:r>
      <w:r>
        <w:rPr>
          <w:rFonts w:ascii="Calibri" w:cs="Calibri" w:eastAsia="Calibri" w:hAnsi="Calibri"/>
          <w:sz w:val="18"/>
          <w:szCs w:val="18"/>
        </w:rPr>
        <w:t xml:space="preserve">Walsh NE, Halls S, Thomas R, Berry A, Liddiard C, Cupples ME, et al. First contact physiotherapy: an evaluation of clinical effectiveness and costs. Br J Gen Pract. 2024;74(747):e717-e726. PMID: 38429110. </w:t>
      </w:r>
      <w:hyperlink w:history="1" r:id="rIdgkdzkb52_m-ny4haru-jv">
        <w:r>
          <w:rPr>
            <w:rStyle w:val="Hyperlink"/>
            <w:rFonts w:ascii="Calibri" w:cs="Calibri" w:eastAsia="Calibri" w:hAnsi="Calibri"/>
            <w:sz w:val="18"/>
            <w:szCs w:val="18"/>
          </w:rPr>
          <w:t xml:space="preserve">doi:10.3399/BJGP.2023.0560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92.	</w:t>
      </w:r>
      <w:r>
        <w:rPr>
          <w:rFonts w:ascii="Calibri" w:cs="Calibri" w:eastAsia="Calibri" w:hAnsi="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j2osfv-l-l5d7huj6qu4c">
        <w:r>
          <w:rPr>
            <w:rStyle w:val="Hyperlink"/>
            <w:rFonts w:ascii="Calibri" w:cs="Calibri" w:eastAsia="Calibri" w:hAnsi="Calibri"/>
            <w:sz w:val="18"/>
            <w:szCs w:val="18"/>
          </w:rPr>
          <w:t xml:space="preserve">doi:10.3310/RTKY7521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93.	</w:t>
      </w:r>
      <w:r>
        <w:rPr>
          <w:rFonts w:ascii="Calibri" w:cs="Calibri" w:eastAsia="Calibri" w:hAnsi="Calibri"/>
          <w:sz w:val="18"/>
          <w:szCs w:val="18"/>
        </w:rPr>
        <w:t xml:space="preserve">Leemrijse CJ, Swinkels IC, Veenhof C. Direct access to physical therapy in the Netherlands: results from the first year in community-based physical therapy. Phys Ther. 2008;88(8):936-46. PMID: 18566108. </w:t>
      </w:r>
      <w:hyperlink w:history="1" r:id="rIdbtn2q87gsytvmyjavzrvi">
        <w:r>
          <w:rPr>
            <w:rStyle w:val="Hyperlink"/>
            <w:rFonts w:ascii="Calibri" w:cs="Calibri" w:eastAsia="Calibri" w:hAnsi="Calibri"/>
            <w:sz w:val="18"/>
            <w:szCs w:val="18"/>
          </w:rPr>
          <w:t xml:space="preserve">doi:10.2522/ptj.20070308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94.	</w:t>
      </w:r>
      <w:r>
        <w:rPr>
          <w:rFonts w:ascii="Calibri" w:cs="Calibri" w:eastAsia="Calibri" w:hAnsi="Calibri"/>
          <w:sz w:val="18"/>
          <w:szCs w:val="18"/>
        </w:rPr>
        <w:t xml:space="preserve">Swinkels IC, Kooijman MK, Spreeuwenberg PM, Bossen D, Leemrijse CJ, van Dijk CE, et al. An overview of 5 years of patient self-referral for physical therapy in the Netherlands. Phys Ther. 2014;94(12):1785-95. PMID: 25082921. </w:t>
      </w:r>
      <w:hyperlink w:history="1" r:id="rId_ewetldirretlygzochyy">
        <w:r>
          <w:rPr>
            <w:rStyle w:val="Hyperlink"/>
            <w:rFonts w:ascii="Calibri" w:cs="Calibri" w:eastAsia="Calibri" w:hAnsi="Calibri"/>
            <w:sz w:val="18"/>
            <w:szCs w:val="18"/>
          </w:rPr>
          <w:t xml:space="preserve">doi:10.2522/ptj.20130309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95.	</w:t>
      </w:r>
      <w:r>
        <w:rPr>
          <w:rFonts w:ascii="Calibri" w:cs="Calibri" w:eastAsia="Calibri" w:hAnsi="Calibri"/>
          <w:sz w:val="18"/>
          <w:szCs w:val="18"/>
        </w:rPr>
        <w:t xml:space="preserve">Nivel. Jaarcijfers fysiotherapie 2024: aandeel patiënten met een verwijzing daalt. Utrecht: Nivel; 2025. Disponible en: </w:t>
      </w:r>
      <w:hyperlink w:history="1" r:id="rIdsnnvhj4i8l7b447l8kbw1">
        <w:r>
          <w:rPr>
            <w:rStyle w:val="Hyperlink"/>
            <w:rFonts w:ascii="Calibri" w:cs="Calibri" w:eastAsia="Calibri" w:hAnsi="Calibri"/>
            <w:sz w:val="18"/>
            <w:szCs w:val="18"/>
          </w:rPr>
          <w:t xml:space="preserve">https://www.nivel.nl/nl/nieuws/jaarcijfers-fysiotherapie-2024-aandeel-patienten-met-een-verwijzing-daalt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96.	</w:t>
      </w:r>
      <w:r>
        <w:rPr>
          <w:rFonts w:ascii="Calibri" w:cs="Calibri" w:eastAsia="Calibri" w:hAnsi="Calibri"/>
          <w:sz w:val="18"/>
          <w:szCs w:val="18"/>
        </w:rPr>
        <w:t xml:space="preserve">Helse- og omsorgsdepartementet. Prop. 71 L (2016-2017). Oslo: Gobierno de Noruega; 2017. Disponible en: </w:t>
      </w:r>
      <w:hyperlink w:history="1" r:id="rIdazieqzeoftz6_zghovjmg">
        <w:r>
          <w:rPr>
            <w:rStyle w:val="Hyperlink"/>
            <w:rFonts w:ascii="Calibri" w:cs="Calibri" w:eastAsia="Calibri" w:hAnsi="Calibri"/>
            <w:sz w:val="18"/>
            <w:szCs w:val="18"/>
          </w:rPr>
          <w:t xml:space="preserve">https://www.regjeringen.no/no/dokumenter/prop.-71-l-20162017/id2546178/?ch=9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97.	</w:t>
      </w:r>
      <w:r>
        <w:rPr>
          <w:rFonts w:ascii="Calibri" w:cs="Calibri" w:eastAsia="Calibri" w:hAnsi="Calibri"/>
          <w:sz w:val="18"/>
          <w:szCs w:val="18"/>
        </w:rPr>
        <w:t xml:space="preserve">1177 Vårdguiden, Region Stockholm. Rehabilitering i öppenvård [página web]. Disponible en: </w:t>
      </w:r>
      <w:hyperlink w:history="1" r:id="rIdrke5wh2pcd-nwbvujxgs_">
        <w:r>
          <w:rPr>
            <w:rStyle w:val="Hyperlink"/>
            <w:rFonts w:ascii="Calibri" w:cs="Calibri" w:eastAsia="Calibri" w:hAnsi="Calibri"/>
            <w:sz w:val="18"/>
            <w:szCs w:val="18"/>
          </w:rPr>
          <w:t xml:space="preserve">https://www.1177.se/Stockholm/undersokning-behandling/smartbehandlingar-och-rehabilitering/rehabilitering-i-stockholms-lan2/rehabilitering-i-oppenvard/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98.	</w:t>
      </w:r>
      <w:r>
        <w:rPr>
          <w:rFonts w:ascii="Calibri" w:cs="Calibri" w:eastAsia="Calibri" w:hAnsi="Calibri"/>
          <w:sz w:val="18"/>
          <w:szCs w:val="18"/>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w:history="1" r:id="rIdbmkmuojgnbmv92fcwrkyb">
        <w:r>
          <w:rPr>
            <w:rStyle w:val="Hyperlink"/>
            <w:rFonts w:ascii="Calibri" w:cs="Calibri" w:eastAsia="Calibri" w:hAnsi="Calibri"/>
            <w:sz w:val="18"/>
            <w:szCs w:val="18"/>
          </w:rPr>
          <w:t xml:space="preserve">doi:10.1177/1759720X19827504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99.	</w:t>
      </w:r>
      <w:r>
        <w:rPr>
          <w:rFonts w:ascii="Calibri" w:cs="Calibri" w:eastAsia="Calibri" w:hAnsi="Calibri"/>
          <w:sz w:val="18"/>
          <w:szCs w:val="18"/>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w:history="1" r:id="rIdu8bguqjtdl4xqmmt3kmjd">
        <w:r>
          <w:rPr>
            <w:rStyle w:val="Hyperlink"/>
            <w:rFonts w:ascii="Calibri" w:cs="Calibri" w:eastAsia="Calibri" w:hAnsi="Calibri"/>
            <w:sz w:val="18"/>
            <w:szCs w:val="18"/>
          </w:rPr>
          <w:t xml:space="preserve">doi:10.1186/s12891-019-2553-9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100.	</w:t>
      </w:r>
      <w:r>
        <w:rPr>
          <w:rFonts w:ascii="Calibri" w:cs="Calibri" w:eastAsia="Calibri" w:hAnsi="Calibri"/>
          <w:sz w:val="18"/>
          <w:szCs w:val="18"/>
        </w:rPr>
        <w:t xml:space="preserve">Australian Physiotherapy Association. Position statement on scope of practice. Melbourne: APA; 2024. Disponible en: </w:t>
      </w:r>
      <w:hyperlink w:history="1" r:id="rIdzbbnau4f4jvstm4ng17cx">
        <w:r>
          <w:rPr>
            <w:rStyle w:val="Hyperlink"/>
            <w:rFonts w:ascii="Calibri" w:cs="Calibri" w:eastAsia="Calibri" w:hAnsi="Calibri"/>
            <w:sz w:val="18"/>
            <w:szCs w:val="18"/>
          </w:rPr>
          <w:t xml:space="preserve">https://australian.physio/sites/default/files/APA%20Position-Statement%20on%20Scope%20of%20Practice%20May%202024_FA.pdf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101.	</w:t>
      </w:r>
      <w:r>
        <w:rPr>
          <w:rFonts w:ascii="Calibri" w:cs="Calibri" w:eastAsia="Calibri" w:hAnsi="Calibri"/>
          <w:sz w:val="18"/>
          <w:szCs w:val="18"/>
        </w:rPr>
        <w:t xml:space="preserve">Canadian Physiotherapy Association. Position statement: primary health care. Ottawa: CPA; 2022. Disponible en: </w:t>
      </w:r>
      <w:hyperlink w:history="1" r:id="rIdo9lhl_pniwavaao25c_xp">
        <w:r>
          <w:rPr>
            <w:rStyle w:val="Hyperlink"/>
            <w:rFonts w:ascii="Calibri" w:cs="Calibri" w:eastAsia="Calibri" w:hAnsi="Calibri"/>
            <w:sz w:val="18"/>
            <w:szCs w:val="18"/>
          </w:rPr>
          <w:t xml:space="preserve">https://physiotherapy.ca/app/uploads/2022/08/primary-health-care_en.pdf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102.	</w:t>
      </w:r>
      <w:r>
        <w:rPr>
          <w:rFonts w:ascii="Calibri" w:cs="Calibri" w:eastAsia="Calibri" w:hAnsi="Calibri"/>
          <w:sz w:val="18"/>
          <w:szCs w:val="18"/>
        </w:rPr>
        <w:t xml:space="preserve">Napier C, McCormack RG, Hunt MA, Brooks-Hill A. A physiotherapy triage service for orthopaedic surgery: an effective strategy for reducing wait times. Physiother Can. 2013;65(4):358-63. PMID: 24396164. </w:t>
      </w:r>
      <w:hyperlink w:history="1" r:id="rIdyvxy2ehuz7qu6evaxqds8">
        <w:r>
          <w:rPr>
            <w:rStyle w:val="Hyperlink"/>
            <w:rFonts w:ascii="Calibri" w:cs="Calibri" w:eastAsia="Calibri" w:hAnsi="Calibri"/>
            <w:sz w:val="18"/>
            <w:szCs w:val="18"/>
          </w:rPr>
          <w:t xml:space="preserve">doi:10.3138/ptc.2012-53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103.	</w:t>
      </w:r>
      <w:r>
        <w:rPr>
          <w:rFonts w:ascii="Calibri" w:cs="Calibri" w:eastAsia="Calibri" w:hAnsi="Calibri"/>
          <w:sz w:val="18"/>
          <w:szCs w:val="18"/>
        </w:rPr>
        <w:t xml:space="preserve">Bath B, Grona SL, Janzen B. A spinal triage programme delivered by physiotherapists in collaboration with orthopaedic surgeons. Physiother Can. 2012;64(4):356-66. PMID: 23997390. </w:t>
      </w:r>
      <w:hyperlink w:history="1" r:id="rId8la5o5ym35jtycwseqtxp">
        <w:r>
          <w:rPr>
            <w:rStyle w:val="Hyperlink"/>
            <w:rFonts w:ascii="Calibri" w:cs="Calibri" w:eastAsia="Calibri" w:hAnsi="Calibri"/>
            <w:sz w:val="18"/>
            <w:szCs w:val="18"/>
          </w:rPr>
          <w:t xml:space="preserve">doi:10.3138/ptc.2011-29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104.	</w:t>
      </w:r>
      <w:r>
        <w:rPr>
          <w:rFonts w:ascii="Calibri" w:cs="Calibri" w:eastAsia="Calibri" w:hAnsi="Calibri"/>
          <w:sz w:val="18"/>
          <w:szCs w:val="18"/>
        </w:rPr>
        <w:t xml:space="preserve">Miller J, Barber D, Donnelly C, French S, Green M, Hill J, et al. Determining the impact of a new physiotherapist-led primary care model for back pain: protocol for a pilot cluster randomized controlled trial. Trials. 2017;18(1):526. PMID: 29121989. </w:t>
      </w:r>
      <w:hyperlink w:history="1" r:id="rIdsh8v9wzm89waoftbngbrd">
        <w:r>
          <w:rPr>
            <w:rStyle w:val="Hyperlink"/>
            <w:rFonts w:ascii="Calibri" w:cs="Calibri" w:eastAsia="Calibri" w:hAnsi="Calibri"/>
            <w:sz w:val="18"/>
            <w:szCs w:val="18"/>
          </w:rPr>
          <w:t xml:space="preserve">doi:10.1186/s13063-017-2279-7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105.	</w:t>
      </w:r>
      <w:r>
        <w:rPr>
          <w:rFonts w:ascii="Calibri" w:cs="Calibri" w:eastAsia="Calibri" w:hAnsi="Calibri"/>
          <w:sz w:val="18"/>
          <w:szCs w:val="18"/>
        </w:rPr>
        <w:t xml:space="preserve">Oakley C, Shacklady C. The clinical effectiveness of the extended-scope physiotherapist role in musculoskeletal triage: a systematic review. Musculoskeletal Care. 2015;13(4):204-21. PMID: 25758358. </w:t>
      </w:r>
      <w:hyperlink w:history="1" r:id="rId_hch-yka-f_4agmdrrzaa">
        <w:r>
          <w:rPr>
            <w:rStyle w:val="Hyperlink"/>
            <w:rFonts w:ascii="Calibri" w:cs="Calibri" w:eastAsia="Calibri" w:hAnsi="Calibri"/>
            <w:sz w:val="18"/>
            <w:szCs w:val="18"/>
          </w:rPr>
          <w:t xml:space="preserve">doi:10.1002/msc.1100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106.	</w:t>
      </w:r>
      <w:r>
        <w:rPr>
          <w:rFonts w:ascii="Calibri" w:cs="Calibri" w:eastAsia="Calibri" w:hAnsi="Calibri"/>
          <w:sz w:val="18"/>
          <w:szCs w:val="18"/>
        </w:rPr>
        <w:t xml:space="preserve">Samsson KS, Grimmer K, Larsson MEH, Morris J, Bernhardsson S. Effects on health and process outcomes of physiotherapist-led orthopaedic triage for patients with musculoskeletal disorders: a systematic review of comparative studies. BMC Musculoskelet Disord. 2020;21(1):673. PMID: 33038935. </w:t>
      </w:r>
      <w:hyperlink w:history="1" r:id="rIdqwo7n_nzexsocve4nhbaj">
        <w:r>
          <w:rPr>
            <w:rStyle w:val="Hyperlink"/>
            <w:rFonts w:ascii="Calibri" w:cs="Calibri" w:eastAsia="Calibri" w:hAnsi="Calibri"/>
            <w:sz w:val="18"/>
            <w:szCs w:val="18"/>
          </w:rPr>
          <w:t xml:space="preserve">doi:10.1186/s12891-020-03673-9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107.	</w:t>
      </w:r>
      <w:r>
        <w:rPr>
          <w:rFonts w:ascii="Calibri" w:cs="Calibri" w:eastAsia="Calibri" w:hAnsi="Calibri"/>
          <w:sz w:val="18"/>
          <w:szCs w:val="18"/>
        </w:rPr>
        <w:t xml:space="preserve">Trøstrup J, Juhl CB, Mikkelsen LR. Effect of extended scope physiotherapists assessments in orthopaedic diagnostic setting: a systematic review. Physiotherapy. 2020;108:120-8. PMID: 32807362. </w:t>
      </w:r>
      <w:hyperlink w:history="1" r:id="rIdvtjsa-tymki5uljpnjgro">
        <w:r>
          <w:rPr>
            <w:rStyle w:val="Hyperlink"/>
            <w:rFonts w:ascii="Calibri" w:cs="Calibri" w:eastAsia="Calibri" w:hAnsi="Calibri"/>
            <w:sz w:val="18"/>
            <w:szCs w:val="18"/>
          </w:rPr>
          <w:t xml:space="preserve">doi:10.1016/j.physio.2017.08.004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108.	</w:t>
      </w:r>
      <w:r>
        <w:rPr>
          <w:rFonts w:ascii="Calibri" w:cs="Calibri" w:eastAsia="Calibri" w:hAnsi="Calibri"/>
          <w:sz w:val="18"/>
          <w:szCs w:val="18"/>
        </w:rPr>
        <w:t xml:space="preserve">Lafrance S, Vincent R, Demont A, Charron M, Desmeules F. Advanced practice physiotherapists can diagnose and triage patients with musculoskeletal disorders while providing effective care: a systematic review. J Physiother. 2023;69(4):220-31. PMID: 37714771. </w:t>
      </w:r>
      <w:hyperlink w:history="1" r:id="rIdbktrnfpzepzfpkhijl2uq">
        <w:r>
          <w:rPr>
            <w:rStyle w:val="Hyperlink"/>
            <w:rFonts w:ascii="Calibri" w:cs="Calibri" w:eastAsia="Calibri" w:hAnsi="Calibri"/>
            <w:sz w:val="18"/>
            <w:szCs w:val="18"/>
          </w:rPr>
          <w:t xml:space="preserve">doi:10.1016/j.jphys.2023.08.005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109.	</w:t>
      </w:r>
      <w:r>
        <w:rPr>
          <w:rFonts w:ascii="Calibri" w:cs="Calibri" w:eastAsia="Calibri" w:hAnsi="Calibri"/>
          <w:sz w:val="18"/>
          <w:szCs w:val="18"/>
        </w:rPr>
        <w:t xml:space="preserve">Piscitelli D, Furmanek MP, Meroni R, De Caro W, Pellicciari L. Direct access in physical therapy: a systematic review. Clin Ter. 2018;169(5):e249-e260. PMID: 30393813. </w:t>
      </w:r>
      <w:hyperlink w:history="1" r:id="rId7o1c19rzxdi5v6de5lovp">
        <w:r>
          <w:rPr>
            <w:rStyle w:val="Hyperlink"/>
            <w:rFonts w:ascii="Calibri" w:cs="Calibri" w:eastAsia="Calibri" w:hAnsi="Calibri"/>
            <w:sz w:val="18"/>
            <w:szCs w:val="18"/>
          </w:rPr>
          <w:t xml:space="preserve">doi:10.7417/CT.2018.2087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110.	</w:t>
      </w:r>
      <w:r>
        <w:rPr>
          <w:rFonts w:ascii="Calibri" w:cs="Calibri" w:eastAsia="Calibri" w:hAnsi="Calibri"/>
          <w:sz w:val="18"/>
          <w:szCs w:val="18"/>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w:history="1" r:id="rIdkdis3jvzaeth7goy4bbe5">
        <w:r>
          <w:rPr>
            <w:rStyle w:val="Hyperlink"/>
            <w:rFonts w:ascii="Calibri" w:cs="Calibri" w:eastAsia="Calibri" w:hAnsi="Calibri"/>
            <w:sz w:val="18"/>
            <w:szCs w:val="18"/>
          </w:rPr>
          <w:t xml:space="preserve">doi:10.1080/09638288.2019.1674388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111.	</w:t>
      </w:r>
      <w:r>
        <w:rPr>
          <w:rFonts w:ascii="Calibri" w:cs="Calibri" w:eastAsia="Calibri" w:hAnsi="Calibri"/>
          <w:sz w:val="18"/>
          <w:szCs w:val="18"/>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w:history="1" r:id="rIdaf2i3bniifun-gkfbqtml">
        <w:r>
          <w:rPr>
            <w:rStyle w:val="Hyperlink"/>
            <w:rFonts w:ascii="Calibri" w:cs="Calibri" w:eastAsia="Calibri" w:hAnsi="Calibri"/>
            <w:sz w:val="18"/>
            <w:szCs w:val="18"/>
          </w:rPr>
          <w:t xml:space="preserve">doi:10.1371/journal.pone.0235364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112.	</w:t>
      </w:r>
      <w:r>
        <w:rPr>
          <w:rFonts w:ascii="Calibri" w:cs="Calibri" w:eastAsia="Calibri" w:hAnsi="Calibri"/>
          <w:sz w:val="18"/>
          <w:szCs w:val="18"/>
        </w:rPr>
        <w:t xml:space="preserve">Gallotti M, Campagnola B, Cocchieri A, Mourad F, Heick JD, Maselli F. Effectiveness and consequences of direct access in physiotherapy: a systematic review. J Clin Med. 2023;12(18):5832. PMID: 37762773. </w:t>
      </w:r>
      <w:hyperlink w:history="1" r:id="rIduu5ytiy6h3ij2tblcydvc">
        <w:r>
          <w:rPr>
            <w:rStyle w:val="Hyperlink"/>
            <w:rFonts w:ascii="Calibri" w:cs="Calibri" w:eastAsia="Calibri" w:hAnsi="Calibri"/>
            <w:sz w:val="18"/>
            <w:szCs w:val="18"/>
          </w:rPr>
          <w:t xml:space="preserve">doi:10.3390/jcm12185832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113.	</w:t>
      </w:r>
      <w:r>
        <w:rPr>
          <w:rFonts w:ascii="Calibri" w:cs="Calibri" w:eastAsia="Calibri" w:hAnsi="Calibri"/>
          <w:sz w:val="18"/>
          <w:szCs w:val="18"/>
        </w:rPr>
        <w:t xml:space="preserve">Vedanayagam M, Buzak M, Reid D, Saywell N. Advanced practice physiotherapists are effective in the management of musculoskeletal disorders: a systematic review of systematic reviews. Physiotherapy. 2021;113:116-130. PMID: 34607076. </w:t>
      </w:r>
      <w:hyperlink w:history="1" r:id="rIdfseihgc3zpbor2hw5d33v">
        <w:r>
          <w:rPr>
            <w:rStyle w:val="Hyperlink"/>
            <w:rFonts w:ascii="Calibri" w:cs="Calibri" w:eastAsia="Calibri" w:hAnsi="Calibri"/>
            <w:sz w:val="18"/>
            <w:szCs w:val="18"/>
          </w:rPr>
          <w:t xml:space="preserve">doi:10.1016/j.physio.2021.08.005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114.	</w:t>
      </w:r>
      <w:r>
        <w:rPr>
          <w:rFonts w:ascii="Calibri" w:cs="Calibri" w:eastAsia="Calibri" w:hAnsi="Calibri"/>
          <w:sz w:val="18"/>
          <w:szCs w:val="18"/>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w:history="1" r:id="rIdmczzf9kszj4ufmn0ekfas">
        <w:r>
          <w:rPr>
            <w:rStyle w:val="Hyperlink"/>
            <w:rFonts w:ascii="Calibri" w:cs="Calibri" w:eastAsia="Calibri" w:hAnsi="Calibri"/>
            <w:sz w:val="18"/>
            <w:szCs w:val="18"/>
          </w:rPr>
          <w:t xml:space="preserve">doi:10.1016/j.physio.2020.04.006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115.	</w:t>
      </w:r>
      <w:r>
        <w:rPr>
          <w:rFonts w:ascii="Calibri" w:cs="Calibri" w:eastAsia="Calibri" w:hAnsi="Calibri"/>
          <w:sz w:val="18"/>
          <w:szCs w:val="18"/>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w:history="1" r:id="rIdgqgibzn-kv-exdwxq15cu">
        <w:r>
          <w:rPr>
            <w:rStyle w:val="Hyperlink"/>
            <w:rFonts w:ascii="Calibri" w:cs="Calibri" w:eastAsia="Calibri" w:hAnsi="Calibri"/>
            <w:sz w:val="18"/>
            <w:szCs w:val="18"/>
          </w:rPr>
          <w:t xml:space="preserve">doi:10.1186/s12875-026-03186-9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116.	</w:t>
      </w:r>
      <w:r>
        <w:rPr>
          <w:rFonts w:ascii="Calibri" w:cs="Calibri" w:eastAsia="Calibri" w:hAnsi="Calibri"/>
          <w:sz w:val="18"/>
          <w:szCs w:val="18"/>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w:history="1" r:id="rIdbcabalvveevqbzafrv97t">
        <w:r>
          <w:rPr>
            <w:rStyle w:val="Hyperlink"/>
            <w:rFonts w:ascii="Calibri" w:cs="Calibri" w:eastAsia="Calibri" w:hAnsi="Calibri"/>
            <w:sz w:val="18"/>
            <w:szCs w:val="18"/>
          </w:rPr>
          <w:t xml:space="preserve">doi:10.1093/fampra/cmag046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117.	</w:t>
      </w:r>
      <w:r>
        <w:rPr>
          <w:rFonts w:ascii="Calibri" w:cs="Calibri" w:eastAsia="Calibri" w:hAnsi="Calibri"/>
          <w:sz w:val="18"/>
          <w:szCs w:val="18"/>
        </w:rPr>
        <w:t xml:space="preserve">Ojha H, Masaracchio M, Johnston M, Howard RJ, Egan WE, Kirker K, et al. Minimal physical therapy utilization compared with higher physical therapy utilization for patients with low back pain: a systematic review. Physiother Theory Pract. 2020;36(11):1179-200. PMID: 30739564. </w:t>
      </w:r>
      <w:hyperlink w:history="1" r:id="rIdk-zw_ewb5s4eg3ho1rz3e">
        <w:r>
          <w:rPr>
            <w:rStyle w:val="Hyperlink"/>
            <w:rFonts w:ascii="Calibri" w:cs="Calibri" w:eastAsia="Calibri" w:hAnsi="Calibri"/>
            <w:sz w:val="18"/>
            <w:szCs w:val="18"/>
          </w:rPr>
          <w:t xml:space="preserve">doi:10.1080/09593985.2019.1571135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118.	</w:t>
      </w:r>
      <w:r>
        <w:rPr>
          <w:rFonts w:ascii="Calibri" w:cs="Calibri" w:eastAsia="Calibri" w:hAnsi="Calibri"/>
          <w:sz w:val="18"/>
          <w:szCs w:val="18"/>
        </w:rPr>
        <w:t xml:space="preserve">Snow BL, Shamus E, Hill C. Physical therapy as primary health care: public perceptions. J Allied Health. 2001;30(1):35-8. PMID: 11265271. Disponible en: </w:t>
      </w:r>
      <w:hyperlink w:history="1" r:id="rId_2_blirmh_njn7wgzvhdo">
        <w:r>
          <w:rPr>
            <w:rStyle w:val="Hyperlink"/>
            <w:rFonts w:ascii="Calibri" w:cs="Calibri" w:eastAsia="Calibri" w:hAnsi="Calibri"/>
            <w:sz w:val="18"/>
            <w:szCs w:val="18"/>
          </w:rPr>
          <w:t xml:space="preserve">https://pubmed.ncbi.nlm.nih.gov/11265271/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119.	</w:t>
      </w:r>
      <w:r>
        <w:rPr>
          <w:rFonts w:ascii="Calibri" w:cs="Calibri" w:eastAsia="Calibri" w:hAnsi="Calibri"/>
          <w:sz w:val="18"/>
          <w:szCs w:val="18"/>
        </w:rPr>
        <w:t xml:space="preserve">Eurostat. Physicians and physiotherapists in the EU: how many? Eurostat News. Luxemburgo; 18 de agosto de 2023. Disponible en: </w:t>
      </w:r>
      <w:hyperlink w:history="1" r:id="rIdplhaamxirdc-ivlwhqy50">
        <w:r>
          <w:rPr>
            <w:rStyle w:val="Hyperlink"/>
            <w:rFonts w:ascii="Calibri" w:cs="Calibri" w:eastAsia="Calibri" w:hAnsi="Calibri"/>
            <w:sz w:val="18"/>
            <w:szCs w:val="18"/>
          </w:rPr>
          <w:t xml:space="preserve">https://ec.europa.eu/eurostat/web/products-eurostat-news/w/ddn-20230818-1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120.	</w:t>
      </w:r>
      <w:r>
        <w:rPr>
          <w:rFonts w:ascii="Calibri" w:cs="Calibri" w:eastAsia="Calibri" w:hAnsi="Calibri"/>
          <w:sz w:val="18"/>
          <w:szCs w:val="18"/>
        </w:rPr>
        <w:t xml:space="preserve">Eurostat. Healthcare personnel statistics: dentists, pharmacists and physiotherapists. Statistics Explained [actualización periódica]. Luxemburgo: Eurostat. Disponible en: </w:t>
      </w:r>
      <w:hyperlink w:history="1" r:id="rId6aayn81sjljyulwjr1z0n">
        <w:r>
          <w:rPr>
            <w:rStyle w:val="Hyperlink"/>
            <w:rFonts w:ascii="Calibri" w:cs="Calibri" w:eastAsia="Calibri" w:hAnsi="Calibri"/>
            <w:sz w:val="18"/>
            <w:szCs w:val="18"/>
          </w:rPr>
          <w:t xml:space="preserve">https://ec.europa.eu/eurostat/statistics-explained/index.php?title=Healthcare_personnel_statistics_-_dentists,_pharmacists_and_physiotherapists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121.	</w:t>
      </w:r>
      <w:r>
        <w:rPr>
          <w:rFonts w:ascii="Calibri" w:cs="Calibri" w:eastAsia="Calibri" w:hAnsi="Calibri"/>
          <w:sz w:val="18"/>
          <w:szCs w:val="18"/>
        </w:rPr>
        <w:t xml:space="preserve">World Physiotherapy. Annual Membership Census 2024. Global report. Londres: World Physiotherapy; 2025. Disponible en: </w:t>
      </w:r>
      <w:hyperlink w:history="1" r:id="rIdzaftd7cweeepqwwg8fbzq">
        <w:r>
          <w:rPr>
            <w:rStyle w:val="Hyperlink"/>
            <w:rFonts w:ascii="Calibri" w:cs="Calibri" w:eastAsia="Calibri" w:hAnsi="Calibri"/>
            <w:sz w:val="18"/>
            <w:szCs w:val="18"/>
          </w:rPr>
          <w:t xml:space="preserve">https://world.physio/sites/default/files/2025-01/AMC2024-Global-report.pdf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122.	</w:t>
      </w:r>
      <w:r>
        <w:rPr>
          <w:rFonts w:ascii="Calibri" w:cs="Calibri" w:eastAsia="Calibri" w:hAnsi="Calibri"/>
          <w:sz w:val="18"/>
          <w:szCs w:val="18"/>
        </w:rPr>
        <w:t xml:space="preserve">Bury TJ, Stokes EK. A global view of direct access and patient self-referral to physical therapy: implications for the profession. Phys Ther. 2013;93(4):449-59. PMID: 23197847. </w:t>
      </w:r>
      <w:hyperlink w:history="1" r:id="rId5g8pfbsyqtcjpgioxhq7v">
        <w:r>
          <w:rPr>
            <w:rStyle w:val="Hyperlink"/>
            <w:rFonts w:ascii="Calibri" w:cs="Calibri" w:eastAsia="Calibri" w:hAnsi="Calibri"/>
            <w:sz w:val="18"/>
            <w:szCs w:val="18"/>
          </w:rPr>
          <w:t xml:space="preserve">doi:10.2522/ptj.20120060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123.	</w:t>
      </w:r>
      <w:r>
        <w:rPr>
          <w:rFonts w:ascii="Calibri" w:cs="Calibri" w:eastAsia="Calibri" w:hAnsi="Calibri"/>
          <w:sz w:val="18"/>
          <w:szCs w:val="18"/>
        </w:rPr>
        <w:t xml:space="preserve">Lin I, Wiles L, Waller R, Goucke R, Nagree Y, Gibberd M, et al. What does best practice care for musculoskeletal pain look like? Eleven consistent recommendations from high-quality clinical practice guidelines: systematic review. Br J Sports Med. 2020;54(2):79-86. PMID: 30826805. </w:t>
      </w:r>
      <w:hyperlink w:history="1" r:id="rIdgzujpq7betroczk5l_pzr">
        <w:r>
          <w:rPr>
            <w:rStyle w:val="Hyperlink"/>
            <w:rFonts w:ascii="Calibri" w:cs="Calibri" w:eastAsia="Calibri" w:hAnsi="Calibri"/>
            <w:sz w:val="18"/>
            <w:szCs w:val="18"/>
          </w:rPr>
          <w:t xml:space="preserve">doi:10.1136/bjsports-2018-099878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124.	</w:t>
      </w:r>
      <w:r>
        <w:rPr>
          <w:rFonts w:ascii="Calibri" w:cs="Calibri" w:eastAsia="Calibri" w:hAnsi="Calibri"/>
          <w:sz w:val="18"/>
          <w:szCs w:val="18"/>
        </w:rPr>
        <w:t xml:space="preserve">Sherrington C, Fairhall NJ, Wallbank GK, Tiedemann A, Michaleff ZA, Howard K, et al. Exercise for preventing falls in older people living in the community. Cochrane Database Syst Rev. 2019;1(1):CD012424. PMID: 30703272. </w:t>
      </w:r>
      <w:hyperlink w:history="1" r:id="rIdesc-yuul_wpw_yutmvhwj">
        <w:r>
          <w:rPr>
            <w:rStyle w:val="Hyperlink"/>
            <w:rFonts w:ascii="Calibri" w:cs="Calibri" w:eastAsia="Calibri" w:hAnsi="Calibri"/>
            <w:sz w:val="18"/>
            <w:szCs w:val="18"/>
          </w:rPr>
          <w:t xml:space="preserve">doi:10.1002/14651858.CD012424.pub2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125.	</w:t>
      </w:r>
      <w:r>
        <w:rPr>
          <w:rFonts w:ascii="Calibri" w:cs="Calibri" w:eastAsia="Calibri" w:hAnsi="Calibri"/>
          <w:sz w:val="18"/>
          <w:szCs w:val="18"/>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w:history="1" r:id="rIdqakksr8bra_vzphdui_is">
        <w:r>
          <w:rPr>
            <w:rStyle w:val="Hyperlink"/>
            <w:rFonts w:ascii="Calibri" w:cs="Calibri" w:eastAsia="Calibri" w:hAnsi="Calibri"/>
            <w:sz w:val="18"/>
            <w:szCs w:val="18"/>
          </w:rPr>
          <w:t xml:space="preserve">doi:10.3390/jcm9041201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126.	</w:t>
      </w:r>
      <w:r>
        <w:rPr>
          <w:rFonts w:ascii="Calibri" w:cs="Calibri" w:eastAsia="Calibri" w:hAnsi="Calibri"/>
          <w:sz w:val="18"/>
          <w:szCs w:val="18"/>
        </w:rPr>
        <w:t xml:space="preserve">Fransen M, McConnell S, Harmer AR, Van der Esch M, Simic M, Bennell KL. Exercise for osteoarthritis of the knee. Cochrane Database Syst Rev. 2015;1(1):CD004376. PMID: 25569281. </w:t>
      </w:r>
      <w:hyperlink w:history="1" r:id="rIdzwplpymmg-js-n-sd6u4g">
        <w:r>
          <w:rPr>
            <w:rStyle w:val="Hyperlink"/>
            <w:rFonts w:ascii="Calibri" w:cs="Calibri" w:eastAsia="Calibri" w:hAnsi="Calibri"/>
            <w:sz w:val="18"/>
            <w:szCs w:val="18"/>
          </w:rPr>
          <w:t xml:space="preserve">doi:10.1002/14651858.CD004376.pub3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127.	</w:t>
      </w:r>
      <w:r>
        <w:rPr>
          <w:rFonts w:ascii="Calibri" w:cs="Calibri" w:eastAsia="Calibri" w:hAnsi="Calibri"/>
          <w:sz w:val="18"/>
          <w:szCs w:val="18"/>
        </w:rPr>
        <w:t xml:space="preserve">McCarthy B, Casey D, Devane D, Murphy K, Murphy E, Lacasse Y. Pulmonary rehabilitation for chronic obstructive pulmonary disease. Cochrane Database Syst Rev. 2015;2015(2):CD003793. PMID: 25705944. </w:t>
      </w:r>
      <w:hyperlink w:history="1" r:id="rIdgcmqjljxzqc90r7n0gzu-">
        <w:r>
          <w:rPr>
            <w:rStyle w:val="Hyperlink"/>
            <w:rFonts w:ascii="Calibri" w:cs="Calibri" w:eastAsia="Calibri" w:hAnsi="Calibri"/>
            <w:sz w:val="18"/>
            <w:szCs w:val="18"/>
          </w:rPr>
          <w:t xml:space="preserve">doi:10.1002/14651858.CD003793.pub3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128.	</w:t>
      </w:r>
      <w:r>
        <w:rPr>
          <w:rFonts w:ascii="Calibri" w:cs="Calibri" w:eastAsia="Calibri" w:hAnsi="Calibri"/>
          <w:sz w:val="18"/>
          <w:szCs w:val="18"/>
        </w:rPr>
        <w:t xml:space="preserve">Hayden JA, Ellis J, Ogilvie R, Malmivaara A, van Tulder MW. Exercise therapy for chronic low back pain. Cochrane Database Syst Rev. 2021;9(9):CD009790. PMID: 34580864. </w:t>
      </w:r>
      <w:hyperlink w:history="1" r:id="rIdenjyfwwl-nkwqcz2mxx-d">
        <w:r>
          <w:rPr>
            <w:rStyle w:val="Hyperlink"/>
            <w:rFonts w:ascii="Calibri" w:cs="Calibri" w:eastAsia="Calibri" w:hAnsi="Calibri"/>
            <w:sz w:val="18"/>
            <w:szCs w:val="18"/>
          </w:rPr>
          <w:t xml:space="preserve">doi:10.1002/14651858.CD009790.pub2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129.	</w:t>
      </w:r>
      <w:r>
        <w:rPr>
          <w:rFonts w:ascii="Calibri" w:cs="Calibri" w:eastAsia="Calibri" w:hAnsi="Calibri"/>
          <w:sz w:val="18"/>
          <w:szCs w:val="18"/>
        </w:rPr>
        <w:t xml:space="preserve">Louw A, Zimney K, Puentedura EJ, Diener I. The efficacy of pain neuroscience education on musculoskeletal pain: a systematic review of the literature. Physiother Theory Pract. 2016;32(5):332-55. PMID: 27351541. </w:t>
      </w:r>
      <w:hyperlink w:history="1" r:id="rIdrizg_njlicadrdtkexe8x">
        <w:r>
          <w:rPr>
            <w:rStyle w:val="Hyperlink"/>
            <w:rFonts w:ascii="Calibri" w:cs="Calibri" w:eastAsia="Calibri" w:hAnsi="Calibri"/>
            <w:sz w:val="18"/>
            <w:szCs w:val="18"/>
          </w:rPr>
          <w:t xml:space="preserve">doi:10.1080/09593985.2016.1194646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130.	</w:t>
      </w:r>
      <w:r>
        <w:rPr>
          <w:rFonts w:ascii="Calibri" w:cs="Calibri" w:eastAsia="Calibri" w:hAnsi="Calibri"/>
          <w:sz w:val="18"/>
          <w:szCs w:val="18"/>
        </w:rPr>
        <w:t xml:space="preserve">Geneen LJ, Martin DJ, Adams N, Clarke C, Dunbar M, Jones D, et al. Effects of education to facilitate knowledge about chronic pain for adults: a systematic review with meta-analysis. Syst Rev. 2015;4:132. PMID: 26428467. </w:t>
      </w:r>
      <w:hyperlink w:history="1" r:id="rIdwssc5ptg1mkipbfsgfl_y">
        <w:r>
          <w:rPr>
            <w:rStyle w:val="Hyperlink"/>
            <w:rFonts w:ascii="Calibri" w:cs="Calibri" w:eastAsia="Calibri" w:hAnsi="Calibri"/>
            <w:sz w:val="18"/>
            <w:szCs w:val="18"/>
          </w:rPr>
          <w:t xml:space="preserve">doi:10.1186/s13643-015-0120-5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131.	</w:t>
      </w:r>
      <w:r>
        <w:rPr>
          <w:rFonts w:ascii="Calibri" w:cs="Calibri" w:eastAsia="Calibri" w:hAnsi="Calibri"/>
          <w:sz w:val="18"/>
          <w:szCs w:val="18"/>
        </w:rPr>
        <w:t xml:space="preserve">Díaz-Cerrillo JL, Rondón-Ramos A, Pérez-González R, Clavero-Cano S. [Non-randomised trial of an educational intervention based on cognitive-behavioural principles for patients with chronic low back pain attended in Primary Care Physiotherapy]. Aten Primaria. 2016;48(7):440-8. Español. PMID: 26724987. </w:t>
      </w:r>
      <w:hyperlink w:history="1" r:id="rId1uhgwkgimqjlh6rgrwsjz">
        <w:r>
          <w:rPr>
            <w:rStyle w:val="Hyperlink"/>
            <w:rFonts w:ascii="Calibri" w:cs="Calibri" w:eastAsia="Calibri" w:hAnsi="Calibri"/>
            <w:sz w:val="18"/>
            <w:szCs w:val="18"/>
          </w:rPr>
          <w:t xml:space="preserve">doi:10.1016/j.aprim.2015.10.007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132.	</w:t>
      </w:r>
      <w:r>
        <w:rPr>
          <w:rFonts w:ascii="Calibri" w:cs="Calibri" w:eastAsia="Calibri" w:hAnsi="Calibri"/>
          <w:sz w:val="18"/>
          <w:szCs w:val="18"/>
        </w:rPr>
        <w:t xml:space="preserve">Cuenca-Zaldívar JN, Fernández-Carnero J, Sánchez-Romero EA, Álvarez-Gonzalo V, Conde-Rodríguez R, Rodríguez-Sanz D, et al. Effects of a therapeutic exercise protocol for patients with chronic non-specific back pain in primary health care: a single-group retrospective cohort study. J Clin Med. 2023;12(20):6478. PMID: 37892618. </w:t>
      </w:r>
      <w:hyperlink w:history="1" r:id="rIdcrrtw9aqeocbx9ksjwaoc">
        <w:r>
          <w:rPr>
            <w:rStyle w:val="Hyperlink"/>
            <w:rFonts w:ascii="Calibri" w:cs="Calibri" w:eastAsia="Calibri" w:hAnsi="Calibri"/>
            <w:sz w:val="18"/>
            <w:szCs w:val="18"/>
          </w:rPr>
          <w:t xml:space="preserve">doi:10.3390/jcm12206478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133.	</w:t>
      </w:r>
      <w:r>
        <w:rPr>
          <w:rFonts w:ascii="Calibri" w:cs="Calibri" w:eastAsia="Calibri" w:hAnsi="Calibri"/>
          <w:sz w:val="18"/>
          <w:szCs w:val="18"/>
        </w:rPr>
        <w:t xml:space="preserve">Antúnez Sánchez LG, de la Casa Almeida M, Rebollo Roldán J, Ramírez Manzano A, Martín Valero R, Suárez Serrano C. [Effectiveness of an individualised physiotherapy program versus group therapy on neck pain and disability in patients with acute and subacute mechanical neck pain]. Aten Primaria. 2017;49(7):417-25. Español. PMID: 28089225. </w:t>
      </w:r>
      <w:hyperlink w:history="1" r:id="rIdnhmrphjzwlttfuxlx50gp">
        <w:r>
          <w:rPr>
            <w:rStyle w:val="Hyperlink"/>
            <w:rFonts w:ascii="Calibri" w:cs="Calibri" w:eastAsia="Calibri" w:hAnsi="Calibri"/>
            <w:sz w:val="18"/>
            <w:szCs w:val="18"/>
          </w:rPr>
          <w:t xml:space="preserve">doi:10.1016/j.aprim.2016.09.010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134.	</w:t>
      </w:r>
      <w:r>
        <w:rPr>
          <w:rFonts w:ascii="Calibri" w:cs="Calibri" w:eastAsia="Calibri" w:hAnsi="Calibri"/>
          <w:sz w:val="18"/>
          <w:szCs w:val="18"/>
        </w:rPr>
        <w:t xml:space="preserve">Serra-Prat M, Sist X, Domenich R, Jurado L, Saiz A, Roces A, et al. Effectiveness of an intervention to prevent frailty in pre-frail community-dwelling older people consulting in primary care: a randomised controlled trial. Age Ageing. 2017;46(3):401-7. PMID: 28064172. </w:t>
      </w:r>
      <w:hyperlink w:history="1" r:id="rIds6aeiuh1hm_4e8mn6cqtk">
        <w:r>
          <w:rPr>
            <w:rStyle w:val="Hyperlink"/>
            <w:rFonts w:ascii="Calibri" w:cs="Calibri" w:eastAsia="Calibri" w:hAnsi="Calibri"/>
            <w:sz w:val="18"/>
            <w:szCs w:val="18"/>
          </w:rPr>
          <w:t xml:space="preserve">doi:10.1093/ageing/afw242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135.	</w:t>
      </w:r>
      <w:r>
        <w:rPr>
          <w:rFonts w:ascii="Calibri" w:cs="Calibri" w:eastAsia="Calibri" w:hAnsi="Calibri"/>
          <w:sz w:val="18"/>
          <w:szCs w:val="18"/>
        </w:rPr>
        <w:t xml:space="preserve">Romera-Liebana L, Orfila F, Segura JM, Real J, Fabra ML, Möller M, et al. Effects of a primary care-based multifactorial intervention on physical and cognitive function in frail, elderly individuals: a randomized controlled trial. J Gerontol A Biol Sci Med Sci. 2018;73(12):1688-74 [paginación tal como figura en PubMed]. PMID: 29346524. </w:t>
      </w:r>
      <w:hyperlink w:history="1" r:id="rIdm8yobuqjy-fetr7h4ypry">
        <w:r>
          <w:rPr>
            <w:rStyle w:val="Hyperlink"/>
            <w:rFonts w:ascii="Calibri" w:cs="Calibri" w:eastAsia="Calibri" w:hAnsi="Calibri"/>
            <w:sz w:val="18"/>
            <w:szCs w:val="18"/>
          </w:rPr>
          <w:t xml:space="preserve">doi:10.1093/gerona/glx259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136.	</w:t>
      </w:r>
      <w:r>
        <w:rPr>
          <w:rFonts w:ascii="Calibri" w:cs="Calibri" w:eastAsia="Calibri" w:hAnsi="Calibri"/>
          <w:sz w:val="18"/>
          <w:szCs w:val="18"/>
        </w:rPr>
        <w:t xml:space="preserve">Castell MV, Gutiérrez-Misis A, Sánchez-Martínez M, Prieto MA, Moreno B, Nuñez S, et al. Effectiveness of an intervention in multicomponent exercise in primary care to improve frailty parameters in patients over 70 years of age (MEFAP-project), a randomised clinical trial: rationale and study design. BMC Geriatr. 2019;19(1):25. PMID: 30691405. </w:t>
      </w:r>
      <w:hyperlink w:history="1" r:id="rIddn1ppyydw0sotzgt8c0g4">
        <w:r>
          <w:rPr>
            <w:rStyle w:val="Hyperlink"/>
            <w:rFonts w:ascii="Calibri" w:cs="Calibri" w:eastAsia="Calibri" w:hAnsi="Calibri"/>
            <w:sz w:val="18"/>
            <w:szCs w:val="18"/>
          </w:rPr>
          <w:t xml:space="preserve">doi:10.1186/s12877-018-1024-8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137.	</w:t>
      </w:r>
      <w:r>
        <w:rPr>
          <w:rFonts w:ascii="Calibri" w:cs="Calibri" w:eastAsia="Calibri" w:hAnsi="Calibri"/>
          <w:sz w:val="18"/>
          <w:szCs w:val="18"/>
        </w:rPr>
        <w:t xml:space="preserve">Lin CW, Haas M, Maher CG, Machado LA, van Tulder MW. Cost-effectiveness of general practice care for low back pain: a systematic review. Eur Spine J. 2011;20(7):1012-23. PMID: 21203890. </w:t>
      </w:r>
      <w:hyperlink w:history="1" r:id="rIdoo7v0h_lh0mdjwqcronra">
        <w:r>
          <w:rPr>
            <w:rStyle w:val="Hyperlink"/>
            <w:rFonts w:ascii="Calibri" w:cs="Calibri" w:eastAsia="Calibri" w:hAnsi="Calibri"/>
            <w:sz w:val="18"/>
            <w:szCs w:val="18"/>
          </w:rPr>
          <w:t xml:space="preserve">doi:10.1007/s00586-010-1675-4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138.	</w:t>
      </w:r>
      <w:r>
        <w:rPr>
          <w:rFonts w:ascii="Calibri" w:cs="Calibri" w:eastAsia="Calibri" w:hAnsi="Calibri"/>
          <w:sz w:val="18"/>
          <w:szCs w:val="18"/>
        </w:rPr>
        <w:t xml:space="preserve">Consejería de Sanidad de la Comunidad de Madrid. Informe del estado de salud de la población de la Comunidad de Madrid 2023. Resumen ejecutivo. Madrid: Comunidad de Madrid; 2023. Disponible en: </w:t>
      </w:r>
      <w:hyperlink w:history="1" r:id="rId0z-6xgadr9yoykcos1fzc">
        <w:r>
          <w:rPr>
            <w:rStyle w:val="Hyperlink"/>
            <w:rFonts w:ascii="Calibri" w:cs="Calibri" w:eastAsia="Calibri" w:hAnsi="Calibri"/>
            <w:sz w:val="18"/>
            <w:szCs w:val="18"/>
          </w:rPr>
          <w:t xml:space="preserve">https://www.comunidad.madrid/sites/default/files/doc/sanidad/epid/iesp2023_resumen_ejecutivo.pdf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139.	</w:t>
      </w:r>
      <w:r>
        <w:rPr>
          <w:rFonts w:ascii="Calibri" w:cs="Calibri" w:eastAsia="Calibri" w:hAnsi="Calibri"/>
          <w:sz w:val="18"/>
          <w:szCs w:val="18"/>
        </w:rPr>
        <w:t xml:space="preserve">Orden CIN/2135/2008, de 3 de julio, por la que se establecen los requisitos para la verificación de los títulos universitarios oficiales que habiliten para el ejercicio de la profesión de Fisioterapeuta. Boletín Oficial del Estado, núm. 174, de 19 de julio de 2008, BOE-A-2008-12389. Disponible en: </w:t>
      </w:r>
      <w:hyperlink w:history="1" r:id="rId7lejcizeptdngcwh6fgzf">
        <w:r>
          <w:rPr>
            <w:rStyle w:val="Hyperlink"/>
            <w:rFonts w:ascii="Calibri" w:cs="Calibri" w:eastAsia="Calibri" w:hAnsi="Calibri"/>
            <w:sz w:val="18"/>
            <w:szCs w:val="18"/>
          </w:rPr>
          <w:t xml:space="preserve">https://www.boe.es/diario_boe/txt.php?id=BOE-A-2008-12389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140.	</w:t>
      </w:r>
      <w:r>
        <w:rPr>
          <w:rFonts w:ascii="Calibri" w:cs="Calibri" w:eastAsia="Calibri" w:hAnsi="Calibri"/>
          <w:sz w:val="18"/>
          <w:szCs w:val="18"/>
        </w:rPr>
        <w:t xml:space="preserve">Consejo General de Colegios de Fisioterapeutas de España. Resolución 1/2023 sobre el empleo de la ecografía en Fisioterapia. Madrid: CGCFE; 2023.</w:t>
      </w:r>
    </w:p>
    <w:p>
      <w:pPr>
        <w:tabs>
          <w:tab w:val="left" w:pos="567"/>
        </w:tabs>
        <w:spacing w:after="80"/>
        <w:ind w:left="567" w:hanging="567"/>
      </w:pPr>
      <w:r>
        <w:rPr>
          <w:rFonts w:ascii="Calibri" w:cs="Calibri" w:eastAsia="Calibri" w:hAnsi="Calibri"/>
          <w:sz w:val="18"/>
          <w:szCs w:val="18"/>
        </w:rPr>
        <w:t xml:space="preserve">141.	</w:t>
      </w:r>
      <w:r>
        <w:rPr>
          <w:rFonts w:ascii="Calibri" w:cs="Calibri" w:eastAsia="Calibri" w:hAnsi="Calibri"/>
          <w:sz w:val="18"/>
          <w:szCs w:val="18"/>
        </w:rPr>
        <w:t xml:space="preserve">Comunidad de Madrid. La Comunidad de Madrid culmina la implantación de la ecografía en los centros de salud, que disponen de 450 aparatos diagnósticos, fijos de consola y ultra portátiles [nota de prensa]. Madrid; 17 de mayo de 2022. Disponible en: </w:t>
      </w:r>
      <w:hyperlink w:history="1" r:id="rIdnjdnpsdu6bxq78aeybkzu">
        <w:r>
          <w:rPr>
            <w:rStyle w:val="Hyperlink"/>
            <w:rFonts w:ascii="Calibri" w:cs="Calibri" w:eastAsia="Calibri" w:hAnsi="Calibri"/>
            <w:sz w:val="18"/>
            <w:szCs w:val="18"/>
          </w:rPr>
          <w:t xml:space="preserve">https://www.comunidad.madrid/noticias/2022/05/17/comunidad-madrid-culmina-implantacion-ecografia-centros-salud-disponen-450-aparatos-diagnosticos-fijos-consola-ultra-portatiles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142.	</w:t>
      </w:r>
      <w:r>
        <w:rPr>
          <w:rFonts w:ascii="Calibri" w:cs="Calibri" w:eastAsia="Calibri" w:hAnsi="Calibri"/>
          <w:sz w:val="18"/>
          <w:szCs w:val="18"/>
        </w:rPr>
        <w:t xml:space="preserve">Comunidad de Madrid. Atención Primaria de la Comunidad de Madrid impulsa la formación en fisioterapia manual e invasiva para mejorar el abordaje del dolor musculoesquelético [nota de prensa]. Madrid; 22 de diciembre de 2025. Disponible en: </w:t>
      </w:r>
      <w:hyperlink w:history="1" r:id="rIdtn8lzynfvvnbeb-jztjku">
        <w:r>
          <w:rPr>
            <w:rStyle w:val="Hyperlink"/>
            <w:rFonts w:ascii="Calibri" w:cs="Calibri" w:eastAsia="Calibri" w:hAnsi="Calibri"/>
            <w:sz w:val="18"/>
            <w:szCs w:val="18"/>
          </w:rPr>
          <w:t xml:space="preserve">https://www.comunidad.madrid/noticias/2025/12/22/atencion-primaria-comunidad-madrid-impulsa-formacion-fisioterapia-manual-e-invasiva-mejorar-abordaje-dolor-musculoesqueletico</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143.	</w:t>
      </w:r>
      <w:r>
        <w:rPr>
          <w:rFonts w:ascii="Calibri" w:cs="Calibri" w:eastAsia="Calibri" w:hAnsi="Calibri"/>
          <w:sz w:val="18"/>
          <w:szCs w:val="18"/>
        </w:rPr>
        <w:t xml:space="preserve">Bachmann LM, Kolb E, Koller MT, Steurer J, ter Riet G. Accuracy of Ottawa ankle rules to exclude fractures of the ankle and mid-foot: systematic review. BMJ. 2003;326(7386):417. PMID: 12595378. </w:t>
      </w:r>
      <w:hyperlink w:history="1" r:id="rId8ilfdhvgl8cawd-gy5a2q">
        <w:r>
          <w:rPr>
            <w:rStyle w:val="Hyperlink"/>
            <w:rFonts w:ascii="Calibri" w:cs="Calibri" w:eastAsia="Calibri" w:hAnsi="Calibri"/>
            <w:sz w:val="18"/>
            <w:szCs w:val="18"/>
          </w:rPr>
          <w:t xml:space="preserve">doi:10.1136/bmj.326.7386.417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144.	</w:t>
      </w:r>
      <w:r>
        <w:rPr>
          <w:rFonts w:ascii="Calibri" w:cs="Calibri" w:eastAsia="Calibri" w:hAnsi="Calibri"/>
          <w:sz w:val="18"/>
          <w:szCs w:val="18"/>
        </w:rPr>
        <w:t xml:space="preserve">The Ionising Radiation (Medical Exposure) Regulations 2017. SI 2017/1322. Reino Unido. Disponible en: </w:t>
      </w:r>
      <w:hyperlink w:history="1" r:id="rIdv0xqvdlqbrxmqgrxbqapj">
        <w:r>
          <w:rPr>
            <w:rStyle w:val="Hyperlink"/>
            <w:rFonts w:ascii="Calibri" w:cs="Calibri" w:eastAsia="Calibri" w:hAnsi="Calibri"/>
            <w:sz w:val="18"/>
            <w:szCs w:val="18"/>
          </w:rPr>
          <w:t xml:space="preserve">https://www.legislation.gov.uk/uksi/2017/1322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145.	</w:t>
      </w:r>
      <w:r>
        <w:rPr>
          <w:rFonts w:ascii="Calibri" w:cs="Calibri" w:eastAsia="Calibri" w:hAnsi="Calibri"/>
          <w:sz w:val="18"/>
          <w:szCs w:val="18"/>
        </w:rPr>
        <w:t xml:space="preserve">Stiell IG, McKnight RD, Greenberg GH, McDowell I, Nair RC, Wells GA, et al. Implementation of the Ottawa ankle rules. JAMA. 1994;271(11):827-32. PMID: 8114236. Disponible en: </w:t>
      </w:r>
      <w:hyperlink w:history="1" r:id="rIdfbtcdptwqz3xkzwuzlinv">
        <w:r>
          <w:rPr>
            <w:rStyle w:val="Hyperlink"/>
            <w:rFonts w:ascii="Calibri" w:cs="Calibri" w:eastAsia="Calibri" w:hAnsi="Calibri"/>
            <w:sz w:val="18"/>
            <w:szCs w:val="18"/>
          </w:rPr>
          <w:t xml:space="preserve">https://pubmed.ncbi.nlm.nih.gov/8114236/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146.	</w:t>
      </w:r>
      <w:r>
        <w:rPr>
          <w:rFonts w:ascii="Calibri" w:cs="Calibri" w:eastAsia="Calibri" w:hAnsi="Calibri"/>
          <w:sz w:val="18"/>
          <w:szCs w:val="18"/>
        </w:rPr>
        <w:t xml:space="preserve">Ministerio de Sanidad. El Gobierno aprueba el proyecto de ley del medicamento: más sostenibilidad, autonomía estratégica y modernización para el SNS [nota de prensa]. Madrid; 21 de julio de 2026. Disponible en: </w:t>
      </w:r>
      <w:hyperlink w:history="1" r:id="rId_tv_1yzpyr0aflv95iuvp">
        <w:r>
          <w:rPr>
            <w:rStyle w:val="Hyperlink"/>
            <w:rFonts w:ascii="Calibri" w:cs="Calibri" w:eastAsia="Calibri" w:hAnsi="Calibri"/>
            <w:sz w:val="18"/>
            <w:szCs w:val="18"/>
          </w:rPr>
          <w:t xml:space="preserve">https://www.sanidad.gob.es/gabinete/notasPrensa.do?id=6969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147.	</w:t>
      </w:r>
      <w:r>
        <w:rPr>
          <w:rFonts w:ascii="Calibri" w:cs="Calibri" w:eastAsia="Calibri" w:hAnsi="Calibri"/>
          <w:sz w:val="18"/>
          <w:szCs w:val="18"/>
        </w:rPr>
        <w:t xml:space="preserve">Downie A, Williams CM, Henschke N, Hancock MJ, Ostelo RW, de Vet HC, et al. Red flags to screen for malignancy and fracture in patients with low back pain: systematic review. BMJ. 2013;347:f7095. PMID: 24335669. </w:t>
      </w:r>
      <w:hyperlink w:history="1" r:id="rIdqoibvxfc53lcb3wwfsoxv">
        <w:r>
          <w:rPr>
            <w:rStyle w:val="Hyperlink"/>
            <w:rFonts w:ascii="Calibri" w:cs="Calibri" w:eastAsia="Calibri" w:hAnsi="Calibri"/>
            <w:sz w:val="18"/>
            <w:szCs w:val="18"/>
          </w:rPr>
          <w:t xml:space="preserve">doi:10.1136/bmj.f7095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148.	</w:t>
      </w:r>
      <w:r>
        <w:rPr>
          <w:rFonts w:ascii="Calibri" w:cs="Calibri" w:eastAsia="Calibri" w:hAnsi="Calibri"/>
          <w:sz w:val="18"/>
          <w:szCs w:val="18"/>
        </w:rPr>
        <w:t xml:space="preserve">Foster NE, Anema JR, Cherkin D, Chou R, Cohen SP, Gross DP, et al. Prevention and treatment of low back pain: evidence, challenges, and promising directions. Lancet. 2018;391(10137):2368-83. PMID: 29573872. </w:t>
      </w:r>
      <w:hyperlink w:history="1" r:id="rIdtt0cbpps9zktruyzjocc0">
        <w:r>
          <w:rPr>
            <w:rStyle w:val="Hyperlink"/>
            <w:rFonts w:ascii="Calibri" w:cs="Calibri" w:eastAsia="Calibri" w:hAnsi="Calibri"/>
            <w:sz w:val="18"/>
            <w:szCs w:val="18"/>
          </w:rPr>
          <w:t xml:space="preserve">doi:10.1016/S0140-6736(18)30489-6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149.	</w:t>
      </w:r>
      <w:r>
        <w:rPr>
          <w:rFonts w:ascii="Calibri" w:cs="Calibri" w:eastAsia="Calibri" w:hAnsi="Calibri"/>
          <w:sz w:val="18"/>
          <w:szCs w:val="18"/>
        </w:rPr>
        <w:t xml:space="preserve">Côté P, Wong JJ, Sutton D, Shearer HM, Mior S, Randhawa K, et al. Management of neck pain and associated disorders: a clinical practice guideline from the Ontario Protocol for Traffic Injury Management (OPTIMa) Collaboration. Eur Spine J. 2016;25(7):2000-22. PMID: 26984876. </w:t>
      </w:r>
      <w:hyperlink w:history="1" r:id="rIdtxqnndnc-y2h_egp9c8z_">
        <w:r>
          <w:rPr>
            <w:rStyle w:val="Hyperlink"/>
            <w:rFonts w:ascii="Calibri" w:cs="Calibri" w:eastAsia="Calibri" w:hAnsi="Calibri"/>
            <w:sz w:val="18"/>
            <w:szCs w:val="18"/>
          </w:rPr>
          <w:t xml:space="preserve">doi:10.1007/s00586-016-4467-7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150.	</w:t>
      </w:r>
      <w:r>
        <w:rPr>
          <w:rFonts w:ascii="Calibri" w:cs="Calibri" w:eastAsia="Calibri" w:hAnsi="Calibri"/>
          <w:sz w:val="18"/>
          <w:szCs w:val="18"/>
        </w:rPr>
        <w:t xml:space="preserve">Steuri R, Sattelmayer M, Elsig S, Kolly C, Tal A, Taeymans J, et al. Effectiveness of conservative interventions including exercise, manual therapy and medical management in adults with shoulder impingement: a systematic review and meta-analysis of RCTs. Br J Sports Med. 2017;51(18):1340-7. PMID: 28630217. </w:t>
      </w:r>
      <w:hyperlink w:history="1" r:id="rId1s_w_qsfivifu34kdayvv">
        <w:r>
          <w:rPr>
            <w:rStyle w:val="Hyperlink"/>
            <w:rFonts w:ascii="Calibri" w:cs="Calibri" w:eastAsia="Calibri" w:hAnsi="Calibri"/>
            <w:sz w:val="18"/>
            <w:szCs w:val="18"/>
          </w:rPr>
          <w:t xml:space="preserve">doi:10.1136/bjsports-2016-096515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151.	</w:t>
      </w:r>
      <w:r>
        <w:rPr>
          <w:rFonts w:ascii="Calibri" w:cs="Calibri" w:eastAsia="Calibri" w:hAnsi="Calibri"/>
          <w:sz w:val="18"/>
          <w:szCs w:val="18"/>
        </w:rPr>
        <w:t xml:space="preserve">Karjalainen TV, Jain NB, Page CM, Lähdeoja TA, Johnston RV, Salamh P, et al. Subacromial decompression surgery for rotator cuff disease. Cochrane Database Syst Rev. 2019;1(1):CD005619. PMID: 30707445. </w:t>
      </w:r>
      <w:hyperlink w:history="1" r:id="rIdl12eb95mzzlvwfeb9bi_y">
        <w:r>
          <w:rPr>
            <w:rStyle w:val="Hyperlink"/>
            <w:rFonts w:ascii="Calibri" w:cs="Calibri" w:eastAsia="Calibri" w:hAnsi="Calibri"/>
            <w:sz w:val="18"/>
            <w:szCs w:val="18"/>
          </w:rPr>
          <w:t xml:space="preserve">doi:10.1002/14651858.CD005619.pub3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152.	</w:t>
      </w:r>
      <w:r>
        <w:rPr>
          <w:rFonts w:ascii="Calibri" w:cs="Calibri" w:eastAsia="Calibri" w:hAnsi="Calibri"/>
          <w:sz w:val="18"/>
          <w:szCs w:val="18"/>
        </w:rPr>
        <w:t xml:space="preserve">Bisset L, Beller E, Jull G, Brooks P, Darnell R, Vicenzino B. Mobilisation with movement and exercise, corticosteroid injection, or wait and see for tennis elbow: randomised trial. BMJ. 2006;333(7575):939. PMID: 17012266. </w:t>
      </w:r>
      <w:hyperlink w:history="1" r:id="rId5gzxskjtxenviwclnls0m">
        <w:r>
          <w:rPr>
            <w:rStyle w:val="Hyperlink"/>
            <w:rFonts w:ascii="Calibri" w:cs="Calibri" w:eastAsia="Calibri" w:hAnsi="Calibri"/>
            <w:sz w:val="18"/>
            <w:szCs w:val="18"/>
          </w:rPr>
          <w:t xml:space="preserve">doi:10.1136/bmj.38961.584653.AE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153.	</w:t>
      </w:r>
      <w:r>
        <w:rPr>
          <w:rFonts w:ascii="Calibri" w:cs="Calibri" w:eastAsia="Calibri" w:hAnsi="Calibri"/>
          <w:sz w:val="18"/>
          <w:szCs w:val="18"/>
        </w:rPr>
        <w:t xml:space="preserve">Hill JC, Whitehurst DG, Lewis M, Bryan S, Dunn KM, Foster NE, et al. Comparison of stratified primary care management for low back pain with current best practice (STarT Back): a randomised controlled trial. Lancet. 2011;378(9802):1560-71. PMID: 21963002. </w:t>
      </w:r>
      <w:hyperlink w:history="1" r:id="rIddytgj9rl32labixensx0z">
        <w:r>
          <w:rPr>
            <w:rStyle w:val="Hyperlink"/>
            <w:rFonts w:ascii="Calibri" w:cs="Calibri" w:eastAsia="Calibri" w:hAnsi="Calibri"/>
            <w:sz w:val="18"/>
            <w:szCs w:val="18"/>
          </w:rPr>
          <w:t xml:space="preserve">doi:10.1016/S0140-6736(11)60937-9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154.	</w:t>
      </w:r>
      <w:r>
        <w:rPr>
          <w:rFonts w:ascii="Calibri" w:cs="Calibri" w:eastAsia="Calibri" w:hAnsi="Calibri"/>
          <w:sz w:val="18"/>
          <w:szCs w:val="18"/>
        </w:rPr>
        <w:t xml:space="preserve">Gusi N, del Pozo-Cruz B, Olivares PR, Hernández-Mocholi M, Hill JC. The Spanish version of the "STarT Back Screening Tool" (SBST) in different subgroups. Aten Primaria. 2011;43(7):356-61. PMID: 21296465. </w:t>
      </w:r>
      <w:hyperlink w:history="1" r:id="rId7v1siub8wfqb_swq16q-v">
        <w:r>
          <w:rPr>
            <w:rStyle w:val="Hyperlink"/>
            <w:rFonts w:ascii="Calibri" w:cs="Calibri" w:eastAsia="Calibri" w:hAnsi="Calibri"/>
            <w:sz w:val="18"/>
            <w:szCs w:val="18"/>
          </w:rPr>
          <w:t xml:space="preserve">doi:10.1016/j.aprim.2010.05.019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155.	</w:t>
      </w:r>
      <w:r>
        <w:rPr>
          <w:rFonts w:ascii="Calibri" w:cs="Calibri" w:eastAsia="Calibri" w:hAnsi="Calibri"/>
          <w:sz w:val="18"/>
          <w:szCs w:val="18"/>
        </w:rPr>
        <w:t xml:space="preserve">Gallego-Izquierdo T, Ruiz-Vindel J, Ferragut-Garcías A, Martínez-Merinero P, Montañez-Aguilera FJ, Noriega-Matanza C, et al. Adaptation and transcultural translation into Spanish of the Patient-Rated Tennis Elbow Evaluation Questionnaire. J Orthop Res. 2020;38(12):2601-7. PMID: 32761913. </w:t>
      </w:r>
      <w:hyperlink w:history="1" r:id="rIdyphcvgycmxivii8pk5kfp">
        <w:r>
          <w:rPr>
            <w:rStyle w:val="Hyperlink"/>
            <w:rFonts w:ascii="Calibri" w:cs="Calibri" w:eastAsia="Calibri" w:hAnsi="Calibri"/>
            <w:sz w:val="18"/>
            <w:szCs w:val="18"/>
          </w:rPr>
          <w:t xml:space="preserve">doi:10.1002/jor.24820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156.	</w:t>
      </w:r>
      <w:r>
        <w:rPr>
          <w:rFonts w:ascii="Calibri" w:cs="Calibri" w:eastAsia="Calibri" w:hAnsi="Calibri"/>
          <w:sz w:val="18"/>
          <w:szCs w:val="18"/>
        </w:rPr>
        <w:t xml:space="preserve">Vuurberg G, Hoorntje A, Wink LM, van der Doelen BFW, van den Bekerom MP, Dekker R, et al. Diagnosis, treatment and prevention of ankle sprains: update of an evidence-based clinical guideline. Br J Sports Med. 2018;52(15):956. PMID: 29514819. </w:t>
      </w:r>
      <w:hyperlink w:history="1" r:id="rIdrbhsntnlrczirabkggwwu">
        <w:r>
          <w:rPr>
            <w:rStyle w:val="Hyperlink"/>
            <w:rFonts w:ascii="Calibri" w:cs="Calibri" w:eastAsia="Calibri" w:hAnsi="Calibri"/>
            <w:sz w:val="18"/>
            <w:szCs w:val="18"/>
          </w:rPr>
          <w:t xml:space="preserve">doi:10.1136/bjsports-2017-098106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157.	</w:t>
      </w:r>
      <w:r>
        <w:rPr>
          <w:rFonts w:ascii="Calibri" w:cs="Calibri" w:eastAsia="Calibri" w:hAnsi="Calibri"/>
          <w:sz w:val="18"/>
          <w:szCs w:val="18"/>
        </w:rPr>
        <w:t xml:space="preserve">Blanpied PR, Gross AR, Elliott JM, Devaney LL, Clewley D, Walton DM, et al. Neck pain: revision 2017. J Orthop Sports Phys Ther. 2017;47(7):A1-A83. PMID: 28666405. </w:t>
      </w:r>
      <w:hyperlink w:history="1" r:id="rIdbyxafxx9jgu4char4xzqo">
        <w:r>
          <w:rPr>
            <w:rStyle w:val="Hyperlink"/>
            <w:rFonts w:ascii="Calibri" w:cs="Calibri" w:eastAsia="Calibri" w:hAnsi="Calibri"/>
            <w:sz w:val="18"/>
            <w:szCs w:val="18"/>
          </w:rPr>
          <w:t xml:space="preserve">doi:10.2519/jospt.2017.0302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158.	</w:t>
      </w:r>
      <w:r>
        <w:rPr>
          <w:rFonts w:ascii="Calibri" w:cs="Calibri" w:eastAsia="Calibri" w:hAnsi="Calibri"/>
          <w:sz w:val="18"/>
          <w:szCs w:val="18"/>
        </w:rPr>
        <w:t xml:space="preserve">Haahr JP, Østergaard S, Dalsgaard J, Norup K, Frost P, Lausen S, et al. Exercises versus arthroscopic decompression in patients with subacromial impingement: a randomised, controlled study in 90 cases with a one year follow up. Ann Rheum Dis. 2005;64(5):760-4. PMID: 15834056. </w:t>
      </w:r>
      <w:hyperlink w:history="1" r:id="rIdyhtew1h0orma8f9izwuxw">
        <w:r>
          <w:rPr>
            <w:rStyle w:val="Hyperlink"/>
            <w:rFonts w:ascii="Calibri" w:cs="Calibri" w:eastAsia="Calibri" w:hAnsi="Calibri"/>
            <w:sz w:val="18"/>
            <w:szCs w:val="18"/>
          </w:rPr>
          <w:t xml:space="preserve">doi:10.1136/ard.2004.021188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159.	</w:t>
      </w:r>
      <w:r>
        <w:rPr>
          <w:rFonts w:ascii="Calibri" w:cs="Calibri" w:eastAsia="Calibri" w:hAnsi="Calibri"/>
          <w:sz w:val="18"/>
          <w:szCs w:val="18"/>
        </w:rPr>
        <w:t xml:space="preserve">Ketola S, Lehtinen J, Rousi T, Nissinen M, Huhtala H, Konttinen YT, et al. No evidence of long-term benefits of arthroscopic acromioplasty in the treatment of shoulder impingement syndrome: five-year results of a randomised controlled trial. Bone Joint Res. 2013;2(7):132-9. PMID: 23836479. </w:t>
      </w:r>
      <w:hyperlink w:history="1" r:id="rId33jnllzas88cqrv0igcbv">
        <w:r>
          <w:rPr>
            <w:rStyle w:val="Hyperlink"/>
            <w:rFonts w:ascii="Calibri" w:cs="Calibri" w:eastAsia="Calibri" w:hAnsi="Calibri"/>
            <w:sz w:val="18"/>
            <w:szCs w:val="18"/>
          </w:rPr>
          <w:t xml:space="preserve">doi:10.1302/2046-3758.27.2000163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160.	</w:t>
      </w:r>
      <w:r>
        <w:rPr>
          <w:rFonts w:ascii="Calibri" w:cs="Calibri" w:eastAsia="Calibri" w:hAnsi="Calibri"/>
          <w:sz w:val="18"/>
          <w:szCs w:val="18"/>
        </w:rPr>
        <w:t xml:space="preserve">Ketola S, Lehtinen JT, Arnala I. Arthroscopic decompression not recommended in the treatment of rotator cuff tendinopathy: a final review of a randomised controlled trial at a minimum follow-up of ten years. Bone Joint J. 2017;99-B(6):799-805. PMID: 28566400. </w:t>
      </w:r>
      <w:hyperlink w:history="1" r:id="rIdd-qenwhz-lnjehqie8or0">
        <w:r>
          <w:rPr>
            <w:rStyle w:val="Hyperlink"/>
            <w:rFonts w:ascii="Calibri" w:cs="Calibri" w:eastAsia="Calibri" w:hAnsi="Calibri"/>
            <w:sz w:val="18"/>
            <w:szCs w:val="18"/>
          </w:rPr>
          <w:t xml:space="preserve">doi:10.1302/0301-620X.99B6.BJJ-2016-0569.R1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161.	</w:t>
      </w:r>
      <w:r>
        <w:rPr>
          <w:rFonts w:ascii="Calibri" w:cs="Calibri" w:eastAsia="Calibri" w:hAnsi="Calibri"/>
          <w:sz w:val="18"/>
          <w:szCs w:val="18"/>
        </w:rPr>
        <w:t xml:space="preserve">Kanto K, Bäck M, Ibounig T, Björkenheim R, Malmivaara A, Czuba T, et al. Arthroscopic subacromial decompression versus placebo surgery for subacromial pain syndrome: 10 year follow-up of the FIMPACT randomised, placebo surgery controlled trial. BMJ. 2025;391:e086201. PMID: 41330610. </w:t>
      </w:r>
      <w:hyperlink w:history="1" r:id="rIdk3lfnrjte2o_lnh6r2wls">
        <w:r>
          <w:rPr>
            <w:rStyle w:val="Hyperlink"/>
            <w:rFonts w:ascii="Calibri" w:cs="Calibri" w:eastAsia="Calibri" w:hAnsi="Calibri"/>
            <w:sz w:val="18"/>
            <w:szCs w:val="18"/>
          </w:rPr>
          <w:t xml:space="preserve">doi:10.1136/bmj-2025-086201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162.	</w:t>
      </w:r>
      <w:r>
        <w:rPr>
          <w:rFonts w:ascii="Calibri" w:cs="Calibri" w:eastAsia="Calibri" w:hAnsi="Calibri"/>
          <w:sz w:val="18"/>
          <w:szCs w:val="18"/>
        </w:rPr>
        <w:t xml:space="preserve">Kukkonen J, Joukainen A, Lehtinen J, Mattila KT, Tuominen EK, Kauko T, et al. Treatment of non-traumatic rotator cuff tears: a randomised controlled trial with one-year clinical results. Bone Joint J. 2014;96-B(1):75-81. PMID: 24395315. </w:t>
      </w:r>
      <w:hyperlink w:history="1" r:id="rIdo1bl-xlzhpfop0dgingmf">
        <w:r>
          <w:rPr>
            <w:rStyle w:val="Hyperlink"/>
            <w:rFonts w:ascii="Calibri" w:cs="Calibri" w:eastAsia="Calibri" w:hAnsi="Calibri"/>
            <w:sz w:val="18"/>
            <w:szCs w:val="18"/>
          </w:rPr>
          <w:t xml:space="preserve">doi:10.1302/0301-620X.96B1.32168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163.	</w:t>
      </w:r>
      <w:r>
        <w:rPr>
          <w:rFonts w:ascii="Calibri" w:cs="Calibri" w:eastAsia="Calibri" w:hAnsi="Calibri"/>
          <w:sz w:val="18"/>
          <w:szCs w:val="18"/>
        </w:rPr>
        <w:t xml:space="preserve">Morrissey D, Cotchett M, Said J'Bari A, Prior T, Griffiths IB, Rathleff MS, et al. Management of plantar heel pain: a best practice guide informed by a systematic review, expert clinical reasoning and patient values. Br J Sports Med. 2021;55(19):1106-18. PMID: 33785535. </w:t>
      </w:r>
      <w:hyperlink w:history="1" r:id="rId-r_fpa6_n0zxpijcfy61u">
        <w:r>
          <w:rPr>
            <w:rStyle w:val="Hyperlink"/>
            <w:rFonts w:ascii="Calibri" w:cs="Calibri" w:eastAsia="Calibri" w:hAnsi="Calibri"/>
            <w:sz w:val="18"/>
            <w:szCs w:val="18"/>
          </w:rPr>
          <w:t xml:space="preserve">doi:10.1136/bjsports-2019-101970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164.	</w:t>
      </w:r>
      <w:r>
        <w:rPr>
          <w:rFonts w:ascii="Calibri" w:cs="Calibri" w:eastAsia="Calibri" w:hAnsi="Calibri"/>
          <w:sz w:val="18"/>
          <w:szCs w:val="18"/>
        </w:rPr>
        <w:t xml:space="preserve">Koc TA, Bise CG, Neville C, Carreira D, Martin RL, McDonough CM. Heel pain - plantar fasciitis: revision 2023. J Orthop Sports Phys Ther. 2023;53(12):CPG1-CPG39. PMID: 38037331. </w:t>
      </w:r>
      <w:hyperlink w:history="1" r:id="rIdtaybhhyezt2ahktutr2qk">
        <w:r>
          <w:rPr>
            <w:rStyle w:val="Hyperlink"/>
            <w:rFonts w:ascii="Calibri" w:cs="Calibri" w:eastAsia="Calibri" w:hAnsi="Calibri"/>
            <w:sz w:val="18"/>
            <w:szCs w:val="18"/>
          </w:rPr>
          <w:t xml:space="preserve">doi:10.2519/jospt.2023.0303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165.	</w:t>
      </w:r>
      <w:r>
        <w:rPr>
          <w:rFonts w:ascii="Calibri" w:cs="Calibri" w:eastAsia="Calibri" w:hAnsi="Calibri"/>
          <w:sz w:val="18"/>
          <w:szCs w:val="18"/>
        </w:rPr>
        <w:t xml:space="preserve">Kang JR, Sin AT, Cheung EV. Treatment of massive irreparable rotator cuff tears: a cost-effectiveness analysis. Orthopedics. 2017;40(1):e65-e76. PMID: 27684078. </w:t>
      </w:r>
      <w:hyperlink w:history="1" r:id="rIdjyltgrtil9rykj8i90nu0">
        <w:r>
          <w:rPr>
            <w:rStyle w:val="Hyperlink"/>
            <w:rFonts w:ascii="Calibri" w:cs="Calibri" w:eastAsia="Calibri" w:hAnsi="Calibri"/>
            <w:sz w:val="18"/>
            <w:szCs w:val="18"/>
          </w:rPr>
          <w:t xml:space="preserve">doi:10.3928/01477447-20160926-06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166.	</w:t>
      </w:r>
      <w:r>
        <w:rPr>
          <w:rFonts w:ascii="Calibri" w:cs="Calibri" w:eastAsia="Calibri" w:hAnsi="Calibri"/>
          <w:sz w:val="18"/>
          <w:szCs w:val="18"/>
        </w:rPr>
        <w:t xml:space="preserve">Servicio Madrileño de Salud. Portal estadístico de personal del Servicio Madrileño de Salud [base de datos]. Plantillas orgánicas a 30 de abril de 2024. Madrid: Comunidad de Madrid; 2024. Disponible en: </w:t>
      </w:r>
      <w:hyperlink w:history="1" r:id="rIdn5kuyrikygd73g0sf2dnc">
        <w:r>
          <w:rPr>
            <w:rStyle w:val="Hyperlink"/>
            <w:rFonts w:ascii="Calibri" w:cs="Calibri" w:eastAsia="Calibri" w:hAnsi="Calibri"/>
            <w:sz w:val="18"/>
            <w:szCs w:val="18"/>
          </w:rPr>
          <w:t xml:space="preserve">https://www.comunidad.madrid/servicios/salud/portal-estadistico-personal-servicio-madrileno-salud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167.	</w:t>
      </w:r>
      <w:r>
        <w:rPr>
          <w:rFonts w:ascii="Calibri" w:cs="Calibri" w:eastAsia="Calibri" w:hAnsi="Calibri"/>
          <w:sz w:val="18"/>
          <w:szCs w:val="18"/>
        </w:rPr>
        <w:t xml:space="preserve">PricewaterhouseCoopers Asesores de Negocios. Impacto económico, sanitario y social de la actividad de fisioterapia en la Comunidad de Madrid. [Madrid]: Colegio Profesional de Fisioterapeutas de la Comunidad de Madrid; septiembre de 2022. Informe encargado por el Colegio Profesional de Fisioterapeutas de la Comunidad de Madrid.</w:t>
      </w:r>
    </w:p>
    <w:p>
      <w:pPr>
        <w:tabs>
          <w:tab w:val="left" w:pos="567"/>
        </w:tabs>
        <w:spacing w:after="80"/>
        <w:ind w:left="567" w:hanging="567"/>
      </w:pPr>
      <w:r>
        <w:rPr>
          <w:rFonts w:ascii="Calibri" w:cs="Calibri" w:eastAsia="Calibri" w:hAnsi="Calibri"/>
          <w:sz w:val="18"/>
          <w:szCs w:val="18"/>
        </w:rPr>
        <w:t xml:space="preserve">168.	</w:t>
      </w:r>
      <w:r>
        <w:rPr>
          <w:rFonts w:ascii="Calibri" w:cs="Calibri" w:eastAsia="Calibri" w:hAnsi="Calibri"/>
          <w:sz w:val="18"/>
          <w:szCs w:val="18"/>
        </w:rPr>
        <w:t xml:space="preserve">Halls S, Thomas R, Stott H, Cupples ME, Kersten P, Cramp F, et al. Provision of first contact physiotherapy in primary care across the UK: a survey of the service. Physiotherapy. 2020;108:2-9. PMID: 32693238. </w:t>
      </w:r>
      <w:hyperlink w:history="1" r:id="rIdt0k0jkp9i_6kwitlqjeqc">
        <w:r>
          <w:rPr>
            <w:rStyle w:val="Hyperlink"/>
            <w:rFonts w:ascii="Calibri" w:cs="Calibri" w:eastAsia="Calibri" w:hAnsi="Calibri"/>
            <w:sz w:val="18"/>
            <w:szCs w:val="18"/>
          </w:rPr>
          <w:t xml:space="preserve">doi:10.1016/j.physio.2020.04.005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169.	</w:t>
      </w:r>
      <w:r>
        <w:rPr>
          <w:rFonts w:ascii="Calibri" w:cs="Calibri" w:eastAsia="Calibri" w:hAnsi="Calibri"/>
          <w:sz w:val="18"/>
          <w:szCs w:val="18"/>
        </w:rPr>
        <w:t xml:space="preserve">Instituto Nacional de Estadística. Estadística del Padrón Continuo [base de datos]. Madrid: INE. Disponible en: </w:t>
      </w:r>
      <w:hyperlink w:history="1" r:id="rId8v3ngpmasmhcxfgzs2agt">
        <w:r>
          <w:rPr>
            <w:rStyle w:val="Hyperlink"/>
            <w:rFonts w:ascii="Calibri" w:cs="Calibri" w:eastAsia="Calibri" w:hAnsi="Calibri"/>
            <w:sz w:val="18"/>
            <w:szCs w:val="18"/>
          </w:rPr>
          <w:t xml:space="preserve">https://www.ine.es/dyngs/INEbase/operacion.htm?c=Estadistica_C&amp;cid=1254736177012&amp;menu=ultiDatos&amp;idp=1254734710990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170.	</w:t>
      </w:r>
      <w:r>
        <w:rPr>
          <w:rFonts w:ascii="Calibri" w:cs="Calibri" w:eastAsia="Calibri" w:hAnsi="Calibri"/>
          <w:sz w:val="18"/>
          <w:szCs w:val="18"/>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w:history="1" r:id="rIdy4wasbzb0ttgede6sbotb">
        <w:r>
          <w:rPr>
            <w:rStyle w:val="Hyperlink"/>
            <w:rFonts w:ascii="Calibri" w:cs="Calibri" w:eastAsia="Calibri" w:hAnsi="Calibri"/>
            <w:sz w:val="18"/>
            <w:szCs w:val="18"/>
          </w:rPr>
          <w:t xml:space="preserve">doi:10.4415/ANN_18_03_10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171.	</w:t>
      </w:r>
      <w:r>
        <w:rPr>
          <w:rFonts w:ascii="Calibri" w:cs="Calibri" w:eastAsia="Calibri" w:hAnsi="Calibri"/>
          <w:sz w:val="18"/>
          <w:szCs w:val="18"/>
        </w:rPr>
        <w:t xml:space="preserve">Chartered Society of Physiotherapy. CSP urges government to boost FCP roll-out across England [nota]. Londres; 19 de enero de 2022. Disponible en: </w:t>
      </w:r>
      <w:hyperlink w:history="1" r:id="rIdsy7gp0g-n4ozgbltpnxvl">
        <w:r>
          <w:rPr>
            <w:rStyle w:val="Hyperlink"/>
            <w:rFonts w:ascii="Calibri" w:cs="Calibri" w:eastAsia="Calibri" w:hAnsi="Calibri"/>
            <w:sz w:val="18"/>
            <w:szCs w:val="18"/>
          </w:rPr>
          <w:t xml:space="preserve">https://www.csp.org.uk/news/2022-01-19-csp-urges-government-boost-fcp-roll-out-across-england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172.	</w:t>
      </w:r>
      <w:r>
        <w:rPr>
          <w:rFonts w:ascii="Calibri" w:cs="Calibri" w:eastAsia="Calibri" w:hAnsi="Calibri"/>
          <w:sz w:val="18"/>
          <w:szCs w:val="18"/>
        </w:rPr>
        <w:t xml:space="preserve">Lin CW, Haas M, Maher CG, Machado LA, van Tulder MW. Cost-effectiveness of guideline-endorsed treatments for low back pain: a systematic review. Eur Spine J. 2011;20(7):1024-38. PMID: 21229367. </w:t>
      </w:r>
      <w:hyperlink w:history="1" r:id="rIddyysy5i51m2ob3ey-einj">
        <w:r>
          <w:rPr>
            <w:rStyle w:val="Hyperlink"/>
            <w:rFonts w:ascii="Calibri" w:cs="Calibri" w:eastAsia="Calibri" w:hAnsi="Calibri"/>
            <w:sz w:val="18"/>
            <w:szCs w:val="18"/>
          </w:rPr>
          <w:t xml:space="preserve">doi:10.1007/s00586-010-1676-3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173.	</w:t>
      </w:r>
      <w:r>
        <w:rPr>
          <w:rFonts w:ascii="Calibri" w:cs="Calibri" w:eastAsia="Calibri" w:hAnsi="Calibri"/>
          <w:sz w:val="18"/>
          <w:szCs w:val="18"/>
        </w:rPr>
        <w:t xml:space="preserve">Korthals-de Bos IB, Hoving JL, van Tulder MW, Rutten-van Mölken MP, Adèr HJ, de Vet HC, et al. Cost effectiveness of physiotherapy, manual therapy, and general practitioner care for neck pain: economic evaluation alongside a randomised controlled trial. BMJ. 2003;326(7395):911. PMID: 12714472. </w:t>
      </w:r>
      <w:hyperlink w:history="1" r:id="rIdvqq8dmnvazwfmuq8b1hbd">
        <w:r>
          <w:rPr>
            <w:rStyle w:val="Hyperlink"/>
            <w:rFonts w:ascii="Calibri" w:cs="Calibri" w:eastAsia="Calibri" w:hAnsi="Calibri"/>
            <w:sz w:val="18"/>
            <w:szCs w:val="18"/>
          </w:rPr>
          <w:t xml:space="preserve">doi:10.1136/bmj.326.7395.911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174.	</w:t>
      </w:r>
      <w:r>
        <w:rPr>
          <w:rFonts w:ascii="Calibri" w:cs="Calibri" w:eastAsia="Calibri" w:hAnsi="Calibri"/>
          <w:sz w:val="18"/>
          <w:szCs w:val="18"/>
        </w:rPr>
        <w:t xml:space="preserve">Driessen MT, Lin CW, van Tulder MW. Cost-effectiveness of conservative treatments for neck pain: a systematic review on economic evaluations. Eur Spine J. 2012;21(8):1441-50. PMID: 22447407. </w:t>
      </w:r>
      <w:hyperlink w:history="1" r:id="rIdkuc1p2gqxla0wa82kazsk">
        <w:r>
          <w:rPr>
            <w:rStyle w:val="Hyperlink"/>
            <w:rFonts w:ascii="Calibri" w:cs="Calibri" w:eastAsia="Calibri" w:hAnsi="Calibri"/>
            <w:sz w:val="18"/>
            <w:szCs w:val="18"/>
          </w:rPr>
          <w:t xml:space="preserve">doi:10.1007/s00586-012-2272-5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175.	</w:t>
      </w:r>
      <w:r>
        <w:rPr>
          <w:rFonts w:ascii="Calibri" w:cs="Calibri" w:eastAsia="Calibri" w:hAnsi="Calibri"/>
          <w:sz w:val="18"/>
          <w:szCs w:val="18"/>
        </w:rPr>
        <w:t xml:space="preserve">EFQM. Modelo EFQM 2025. Edición en español. Madrid: Club Excelencia en Gestión; 2025. Disponible en: </w:t>
      </w:r>
      <w:hyperlink w:history="1" r:id="rIdg9ydo7k1cwgxrtvsjmmzu">
        <w:r>
          <w:rPr>
            <w:rStyle w:val="Hyperlink"/>
            <w:rFonts w:ascii="Calibri" w:cs="Calibri" w:eastAsia="Calibri" w:hAnsi="Calibri"/>
            <w:sz w:val="18"/>
            <w:szCs w:val="18"/>
          </w:rPr>
          <w:t xml:space="preserve">https://www.clubexcelencia.org/conocimiento/plataforma-de-conocimiento/modelo-efqm-2025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176.	</w:t>
      </w:r>
      <w:r>
        <w:rPr>
          <w:rFonts w:ascii="Calibri" w:cs="Calibri" w:eastAsia="Calibri" w:hAnsi="Calibri"/>
          <w:sz w:val="18"/>
          <w:szCs w:val="18"/>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w:history="1" r:id="rIdwnyzyqkbcq9fjoyzirzi2">
        <w:r>
          <w:rPr>
            <w:rStyle w:val="Hyperlink"/>
            <w:rFonts w:ascii="Calibri" w:cs="Calibri" w:eastAsia="Calibri" w:hAnsi="Calibri"/>
            <w:sz w:val="18"/>
            <w:szCs w:val="18"/>
          </w:rPr>
          <w:t xml:space="preserve">doi:10.1080/09638288.2025.2460723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177.	</w:t>
      </w:r>
      <w:r>
        <w:rPr>
          <w:rFonts w:ascii="Calibri" w:cs="Calibri" w:eastAsia="Calibri" w:hAnsi="Calibri"/>
          <w:sz w:val="18"/>
          <w:szCs w:val="18"/>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w:history="1" r:id="rId_ms3ig8pkgvs8nv5t4kcn">
        <w:r>
          <w:rPr>
            <w:rStyle w:val="Hyperlink"/>
            <w:rFonts w:ascii="Calibri" w:cs="Calibri" w:eastAsia="Calibri" w:hAnsi="Calibri"/>
            <w:sz w:val="18"/>
            <w:szCs w:val="18"/>
          </w:rPr>
          <w:t xml:space="preserve">doi:10.2340/jrm.v55.11950</w:t>
        </w:r>
      </w:hyperlink>
      <w:r>
        <w:rPr>
          <w:rFonts w:ascii="Calibri" w:cs="Calibri" w:eastAsia="Calibri" w:hAnsi="Calibri"/>
          <w:sz w:val="18"/>
          <w:szCs w:val="18"/>
        </w:rPr>
        <w:t xml:space="preserve">.</w:t>
      </w:r>
    </w:p>
    <w:sectPr>
      <w:headerReference w:type="default" r:id="rId7"/>
      <w:footerReference w:type="default" r:id="rId8"/>
      <w:pgSz w:w="11906" w:h="16838" w:orient="portrait"/>
      <w:pgMar w:top="1418" w:right="1418" w:bottom="1418" w:left="1418" w:header="7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CPFCM"/>
      <w:pBdr>
        <w:top w:val="single" w:color="D6EEF3" w:sz="6" w:space="6"/>
      </w:pBdr>
      <w:jc w:val="center"/>
    </w:pPr>
    <w:r>
      <w:rPr>
        <w:rFonts w:ascii="Calibri" w:cs="Calibri" w:eastAsia="Calibri" w:hAnsi="Calibri"/>
        <w:color w:val="8FBCC5"/>
        <w:sz w:val="16"/>
        <w:szCs w:val="16"/>
      </w:rPr>
      <w:t xml:space="preserve">Página </w:t>
    </w:r>
    <w:r>
      <w:rPr>
        <w:rFonts w:ascii="Calibri" w:cs="Calibri" w:eastAsia="Calibri" w:hAnsi="Calibri"/>
        <w:color w:val="8FBCC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0096B1" w:sz="24" w:space="4"/>
        <w:bottom w:val="single" w:color="F78420" w:sz="24" w:space="4"/>
      </w:pBdr>
      <w:spacing w:after="0"/>
      <w:jc w:val="right"/>
    </w:pPr>
    <w:r>
      <w:rPr>
        <w:rFonts w:ascii="Calibri" w:cs="Calibri" w:eastAsia="Calibri" w:hAnsi="Calibri"/>
        <w:i/>
        <w:iCs/>
        <w:color w:val="7FB0BC"/>
        <w:sz w:val="16"/>
        <w:szCs w:val="16"/>
      </w:rPr>
      <w:t xml:space="preserve">Fisioterapia en Atención Primaria en el SNS  |  Documento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CPFCM">
    <w:name w:val="Pie CPFCM"/>
    <w:basedOn w:val="Normal"/>
    <w:pPr>
      <w:jc w:val="center"/>
    </w:pPr>
    <w:rPr>
      <w:rFonts w:ascii="Calibri" w:cs="Calibri" w:eastAsia="Calibri" w:hAnsi="Calibri"/>
      <w:color w:val="8FBCC5"/>
      <w:sz w:val="16"/>
      <w:szCs w:val="16"/>
    </w:rPr>
  </w:style>
  <w:style w:type="paragraph" w:styleId="Heading1">
    <w:name w:val="Heading 1"/>
    <w:basedOn w:val="Normal"/>
    <w:next w:val="Normal"/>
    <w:qFormat/>
    <w:pPr>
      <w:keepNext/>
      <w:pBdr>
        <w:bottom w:val="single" w:color="D6EEF3" w:sz="6" w:space="10"/>
      </w:pBdr>
      <w:spacing w:after="300" w:before="120"/>
      <w:outlineLvl w:val="0"/>
    </w:pPr>
    <w:rPr>
      <w:rFonts w:ascii="Calibri" w:cs="Calibri" w:eastAsia="Calibri" w:hAnsi="Calibri"/>
      <w:b/>
      <w:bCs/>
      <w:color w:val="00768E"/>
      <w:sz w:val="34"/>
      <w:szCs w:val="34"/>
    </w:rPr>
  </w:style>
  <w:style w:type="paragraph" w:styleId="Heading2">
    <w:name w:val="Heading 2"/>
    <w:basedOn w:val="Normal"/>
    <w:next w:val="Normal"/>
    <w:qFormat/>
    <w:pPr>
      <w:keepNext/>
      <w:spacing w:after="140" w:before="300"/>
      <w:outlineLvl w:val="1"/>
    </w:pPr>
    <w:rPr>
      <w:rFonts w:ascii="Calibri" w:cs="Calibri" w:eastAsia="Calibri" w:hAnsi="Calibri"/>
      <w:b/>
      <w:bCs/>
      <w:color w:val="00768E"/>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0096B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eypvjjmfdkz9bpxwvntk" Type="http://schemas.openxmlformats.org/officeDocument/2006/relationships/hyperlink" Target="https://www.boe.es/buscar/act.php?id=BOE-A-2003-21340" TargetMode="External"/><Relationship Id="rIdkb-tt6schtssuwklwzx82" Type="http://schemas.openxmlformats.org/officeDocument/2006/relationships/hyperlink" Target="https://world.physio/sites/default/files/2024-01/PS-2023-Direct-access.pdf" TargetMode="External"/><Relationship Id="rId2dcjcbvmpkdxin7joxuag" Type="http://schemas.openxmlformats.org/officeDocument/2006/relationships/hyperlink" Target="https://world.physio/sites/default/files/2024-01/PS-2023-Description.pdf" TargetMode="External"/><Relationship Id="rIdxb3ev-npl4z9if5eunsix" Type="http://schemas.openxmlformats.org/officeDocument/2006/relationships/hyperlink" Target="https://iris.who.int/handle/10665/254506" TargetMode="External"/><Relationship Id="rIdckyrgstibku8pwfs37wkj" Type="http://schemas.openxmlformats.org/officeDocument/2006/relationships/hyperlink" Target="https://www.who.int/initiatives/rehabilitation-2030" TargetMode="External"/><Relationship Id="rIdti_jw0n1qgwhdayxheifx" Type="http://schemas.openxmlformats.org/officeDocument/2006/relationships/hyperlink" Target="https://apps.who.int/gb/ebwha/pdf_files/WHA76/A76_R6-en.pdf" TargetMode="External"/><Relationship Id="rIdxh8e51pfdb7klavj9irdt" Type="http://schemas.openxmlformats.org/officeDocument/2006/relationships/hyperlink" Target="https://cdn.who.int/media/docs/default-source/documents/health-topics/rehabilitation/basic-pir-info-sheet.pdf" TargetMode="External"/><Relationship Id="rIdbybcxouodx9rnw7u_malj" Type="http://schemas.openxmlformats.org/officeDocument/2006/relationships/hyperlink" Target="https://pestadistico.inteligenciadegestion.sanidad.gob.es/publicoSNS/C/base-de-datos-de-clinicos-de-atencion-primaria-bdcap/problemas-de-salud" TargetMode="External"/><Relationship Id="rIdj59q6gluweon1w679otow" Type="http://schemas.openxmlformats.org/officeDocument/2006/relationships/hyperlink" Target="https://chiro.org/Graphics_Box_CONDITIONS/FULL/The_Musculoskeletal_Services_Framework.pdf" TargetMode="External"/><Relationship Id="rIdndxm8jvwahun52h_wpmy6" Type="http://schemas.openxmlformats.org/officeDocument/2006/relationships/hyperlink" Target="https://www.england.nhs.uk/gp/expanding-our-workforce/first-contact-physiotherapists/" TargetMode="External"/><Relationship Id="rIdxw-clcvx1ujlfaacgvsvi" Type="http://schemas.openxmlformats.org/officeDocument/2006/relationships/hyperlink" Target="https://doi.org/10.1186/1471-2474-11-144" TargetMode="External"/><Relationship Id="rIdqjgzo36eoyan2nkvuiiem" Type="http://schemas.openxmlformats.org/officeDocument/2006/relationships/hyperlink" Target="https://doi.org/10.1136/bmjopen-2016-012987" TargetMode="External"/><Relationship Id="rIdgkxhu1mu_na_ofe5crk6g" Type="http://schemas.openxmlformats.org/officeDocument/2006/relationships/hyperlink" Target="https://doi.org/10.1093/fampra/cmac055" TargetMode="External"/><Relationship Id="rIdqgc8qb4aurk0ijx7b540u" Type="http://schemas.openxmlformats.org/officeDocument/2006/relationships/hyperlink" Target="https://doi.org/10.1016/S0140-6736(18)30480-X" TargetMode="External"/><Relationship Id="rIdzq9xd2cddkdybdhbsxqui" Type="http://schemas.openxmlformats.org/officeDocument/2006/relationships/hyperlink" Target="https://doi.org/10.1002/art.34347" TargetMode="External"/><Relationship Id="rIdbcbbsr4faktksskbb4fuy" Type="http://schemas.openxmlformats.org/officeDocument/2006/relationships/hyperlink" Target="https://doi.org/10.1016/j.pain.2005.10.020" TargetMode="External"/><Relationship Id="rIdmu_084g5uj-xmahatmhy-" Type="http://schemas.openxmlformats.org/officeDocument/2006/relationships/hyperlink" Target="https://doi.org/10.1016/j.mayocp.2014.09.008" TargetMode="External"/><Relationship Id="rIdveqrbokdr6ryrhsseuxb6" Type="http://schemas.openxmlformats.org/officeDocument/2006/relationships/hyperlink" Target="https://doi.org/10.3238/arztebl.2017.0765" TargetMode="External"/><Relationship Id="rIdap6wvpzsjmcagmuhcmwy3" Type="http://schemas.openxmlformats.org/officeDocument/2006/relationships/hyperlink" Target="https://doi.org/10.1016/j.ejpain.2005.06.009" TargetMode="External"/><Relationship Id="rIde9ny3t8xpbinrihxrc7w-" Type="http://schemas.openxmlformats.org/officeDocument/2006/relationships/hyperlink" Target="https://www.seg-social.es/wps/portal/wss/internet/EstadisticasPresupuestosEstudios/Estadisticas/EST45/EST46/EST189" TargetMode="External"/><Relationship Id="rIdja7aggb_o96eqoxdxwtoz" Type="http://schemas.openxmlformats.org/officeDocument/2006/relationships/hyperlink" Target="https://doi.org/10.4321/s0465-546x2022000400003" TargetMode="External"/><Relationship Id="rIdkmgjd0uvn2wmky4kiw2of" Type="http://schemas.openxmlformats.org/officeDocument/2006/relationships/hyperlink" Target="https://doi.org/10.1097/BRS.0b013e3181e70488" TargetMode="External"/><Relationship Id="rId3kiszzz34puh2wxwclh6d" Type="http://schemas.openxmlformats.org/officeDocument/2006/relationships/hyperlink" Target="https://doi.org/10.1007/s10926-009-9202-3" TargetMode="External"/><Relationship Id="rIda91lo48yvv-azmikqv8_e" Type="http://schemas.openxmlformats.org/officeDocument/2006/relationships/hyperlink" Target="https://doi.org/10.1016/j.pain.2011.02.004" TargetMode="External"/><Relationship Id="rIdi8newr6m_fyux2g8kbye3" Type="http://schemas.openxmlformats.org/officeDocument/2006/relationships/hyperlink" Target="https://doi.org/10.1080/09638288.2017.1305456" TargetMode="External"/><Relationship Id="rIdye3a0jytybptufxoasw_7" Type="http://schemas.openxmlformats.org/officeDocument/2006/relationships/hyperlink" Target="https://doi.org/10.2522/ptj.20130096" TargetMode="External"/><Relationship Id="rId7j2rfzrdx689cavi5_prp" Type="http://schemas.openxmlformats.org/officeDocument/2006/relationships/hyperlink" Target="https://doi.org/10.1111/1475-6773.12984" TargetMode="External"/><Relationship Id="rIdp9ol8ff98tpvozzzy7sxy" Type="http://schemas.openxmlformats.org/officeDocument/2006/relationships/hyperlink" Target="https://doi.org/10.1093/ptj/pzaf080" TargetMode="External"/><Relationship Id="rIdtirkekj8r-pjv0lrj32t-" Type="http://schemas.openxmlformats.org/officeDocument/2006/relationships/hyperlink" Target="https://doi.org/10.1097/BRS.0b013e31825d32f5" TargetMode="External"/><Relationship Id="rIdqtmlb-iflrqmn797tniiy" Type="http://schemas.openxmlformats.org/officeDocument/2006/relationships/hyperlink" Target="https://doi.org/10.1097/01.ajp.0000210696.46250.0d" TargetMode="External"/><Relationship Id="rIdhobravu3lxfvwt5ken50s" Type="http://schemas.openxmlformats.org/officeDocument/2006/relationships/hyperlink" Target="https://doi.org/10.1097/01.brs.0000143619.34308.b4" TargetMode="External"/><Relationship Id="rIdcqgdkhaowb0zlvaiifkmk" Type="http://schemas.openxmlformats.org/officeDocument/2006/relationships/hyperlink" Target="https://doi.org/10.1097/00043764-200001000-00010" TargetMode="External"/><Relationship Id="rIdcjjm5lk52sbbvttiukzbt" Type="http://schemas.openxmlformats.org/officeDocument/2006/relationships/hyperlink" Target="https://doi.org/10.4103/jfcm.jfcm_133_21" TargetMode="External"/><Relationship Id="rIdt5xtgfr7kfpjxdpbtw1zl" Type="http://schemas.openxmlformats.org/officeDocument/2006/relationships/hyperlink" Target="https://doi.org/10.3399/bjgp19X702245" TargetMode="External"/><Relationship Id="rIdnu3vyvivw27jivv371sgt" Type="http://schemas.openxmlformats.org/officeDocument/2006/relationships/hyperlink" Target="https://doi.org/10.1002/msc.70143" TargetMode="External"/><Relationship Id="rIdpfuxf_vr412wwucuwhkej" Type="http://schemas.openxmlformats.org/officeDocument/2006/relationships/hyperlink" Target="https://www.comunidad.madrid/noticias/2025/09/05/fisioterapeutas-centros-salud-comunidad-madrid-atendieron-cerca-159000-pacientes-2024" TargetMode="External"/><Relationship Id="rIds3e0pgf1xkegdtnl6epbe" Type="http://schemas.openxmlformats.org/officeDocument/2006/relationships/hyperlink" Target="https://doi.org/10.1308/rcsann.2016.0054" TargetMode="External"/><Relationship Id="rIdzxh77njk7-sg9x6uzmdrt" Type="http://schemas.openxmlformats.org/officeDocument/2006/relationships/hyperlink" Target="https://doi.org/10.1002/msc.1122" TargetMode="External"/><Relationship Id="rIdxhwgo8xmrm5l_8ajefc1f" Type="http://schemas.openxmlformats.org/officeDocument/2006/relationships/hyperlink" Target="https://www.boe.es/buscar/act.php?id=BOE-A-2006-16212" TargetMode="External"/><Relationship Id="rIdfdfqgqofggo778wxpvzv8" Type="http://schemas.openxmlformats.org/officeDocument/2006/relationships/hyperlink" Target="https://www.sanidad.gob.es/profesionales/prestacionesSanitarias/CarteraDeServicios/ContenidoCS/2AtencionPrimaria/AP-RehabilitacionBasica.htm" TargetMode="External"/><Relationship Id="rIdlqfbmlu0ticwl5hrtaryx" Type="http://schemas.openxmlformats.org/officeDocument/2006/relationships/hyperlink" Target="https://www.boe.es/diario_boe/txt.php?id=BOE-A-2025-9277" TargetMode="External"/><Relationship Id="rId3bglokyrgit_ewh0q9joo" Type="http://schemas.openxmlformats.org/officeDocument/2006/relationships/hyperlink" Target="https://www.boe.es/buscar/act.php?id=BOE-A-2003-10715" TargetMode="External"/><Relationship Id="rIdqltirv-srqtg1noxjk3ta" Type="http://schemas.openxmlformats.org/officeDocument/2006/relationships/hyperlink" Target="https://www.sanidad.gob.es/areas/calidadAsistencial/estrategias/atencionPrimaria/docs/Marco_Estrategico_APS_25Abril_2019.pdf" TargetMode="External"/><Relationship Id="rIdiuimq9y9qj_v8qibhubnd" Type="http://schemas.openxmlformats.org/officeDocument/2006/relationships/hyperlink" Target="https://www.sanidad.gob.es/areas/calidadAsistencial/estrategias/atencionPrimaria/docs/Plan_de_Accion_de_Atencion_Primaria.pdf" TargetMode="External"/><Relationship Id="rId4fkupetfnesyx7ksqxnpf" Type="http://schemas.openxmlformats.org/officeDocument/2006/relationships/hyperlink" Target="https://www.sanidad.gob.es/areas/calidadAsistencial/estrategias/atencionPrimaria/docs/Plan_de_Accion_de_Atencion_Primaria_y_Comunitaria_2025-2027.pdf" TargetMode="External"/><Relationship Id="rIdjjvi9yircb9fq0usdqpcx" Type="http://schemas.openxmlformats.org/officeDocument/2006/relationships/hyperlink" Target="https://www.sanidad.gob.es/gabinete/notasPrensa.do?id=6591" TargetMode="External"/><Relationship Id="rIdneotrqbbavqpdsoaesltr" Type="http://schemas.openxmlformats.org/officeDocument/2006/relationships/hyperlink" Target="https://www.sanidad.gob.es/areas/calidadAsistencial/estrategias/abordajeCronicidad/docs/ESTRATEGIA_ABORDAJE_CRONICIDAD.pdf" TargetMode="External"/><Relationship Id="rIddj3gjyocimxratvbsehel" Type="http://schemas.openxmlformats.org/officeDocument/2006/relationships/hyperlink" Target="https://www.sanidad.gob.es/areas/promocionPrevencion/estrategiaSNS/docs/EstrategiaPromocionSaludyPrevencionSNS.pdf" TargetMode="External"/><Relationship Id="rIddfoonxudr_xrljcbmg9bz" Type="http://schemas.openxmlformats.org/officeDocument/2006/relationships/hyperlink" Target="https://www.sanidad.gob.es/areas/saludDigital/doc/Estrategia_de_Salud_Digital_del_SNS.pdf" TargetMode="External"/><Relationship Id="rId0v8xm3kmzs4mouha-sgjc" Type="http://schemas.openxmlformats.org/officeDocument/2006/relationships/hyperlink" Target="https://www.boe.es/buscar/act.php?id=BOE-A-2019-15604" TargetMode="External"/><Relationship Id="rIdflptzopumhxtub-b8npth" Type="http://schemas.openxmlformats.org/officeDocument/2006/relationships/hyperlink" Target="https://eur-lex.europa.eu/eli/dir/2013/59/oj" TargetMode="External"/><Relationship Id="rIdfafwu-c_mtxwtfozfqbfa" Type="http://schemas.openxmlformats.org/officeDocument/2006/relationships/hyperlink" Target="https://doi.org/10.1017/S1463423619000811" TargetMode="External"/><Relationship Id="rIdmquc37w1bazxj_2ssopph" Type="http://schemas.openxmlformats.org/officeDocument/2006/relationships/hyperlink" Target="https://www.sanidad.gob.es/estadEstudios/estadisticas/sisInfSanSNS/tablasEstadisticas/InfAnual2024/Monografico_RRHH_2024.pdf" TargetMode="External"/><Relationship Id="rIdjvkmv3zlwimwk_b9orlqp" Type="http://schemas.openxmlformats.org/officeDocument/2006/relationships/hyperlink" Target="https://doi.org/10.1016/j.ft.2022.03.002" TargetMode="External"/><Relationship Id="rIdrtdb-hu0fw48zugwwfn76" Type="http://schemas.openxmlformats.org/officeDocument/2006/relationships/hyperlink" Target="https://salutweb.gencat.cat/ca/departament/ambits-estrategics/atencio-primaria-comunitaria/projectes/programa-incorporacio-fisioterapeutes/" TargetMode="External"/><Relationship Id="rIdj_zambcinhyitrkqb1rdq" Type="http://schemas.openxmlformats.org/officeDocument/2006/relationships/hyperlink" Target="https://scientiasalut.gencat.cat/handle/11351/9106" TargetMode="External"/><Relationship Id="rIdge2nebusa8acsdjnyoyhw" Type="http://schemas.openxmlformats.org/officeDocument/2006/relationships/hyperlink" Target="https://pestadistico.inteligenciadegestion.sanidad.gob.es/publicoSNS/S/sistema-de-informacion-de-atencion-primaria-siap" TargetMode="External"/><Relationship Id="rIduc-paurovcev1osvgemr3" Type="http://schemas.openxmlformats.org/officeDocument/2006/relationships/hyperlink" Target="https://www.sspa.juntadeandalucia.es/servicioandaluzdesalud/profesionales/cartera-de-servicios/atencion-primaria/iv-otros-servicios/2-otros-servicios-prestados-en-dispositivos-de-apoyo/23-fisioterapia" TargetMode="External"/><Relationship Id="rIdtfpnothqj3u96rbyaqqjl" Type="http://schemas.openxmlformats.org/officeDocument/2006/relationships/hyperlink" Target="https://www.sspa.juntadeandalucia.es/servicioandaluzdesalud/todas-noticia/sanidad-implanta-la-derivacion-desde-atencion-primaria-fisioterapia-en-toda-andalucia" TargetMode="External"/><Relationship Id="rId0wcdy94m5gqcwseh4koue" Type="http://schemas.openxmlformats.org/officeDocument/2006/relationships/hyperlink" Target="https://atencioncomunitaria.aragon.es/wp-content/uploads/2024/07/CARTERAATENCIONPRIMARIA.pdf" TargetMode="External"/><Relationship Id="rIduu0mb-xvp_zranjrub1yr" Type="http://schemas.openxmlformats.org/officeDocument/2006/relationships/hyperlink" Target="https://docusalut.com/rest/api/core/bitstreams/6baa0511-9642-47e3-aa79-1202fd49c1ce/content" TargetMode="External"/><Relationship Id="rIdg6xts4o_1wot6kphzcdsq" Type="http://schemas.openxmlformats.org/officeDocument/2006/relationships/hyperlink" Target="https://www3.gobiernodecanarias.org/sanidad/scs/listaImagenes.jsp?idCarpeta=46a3e0a2-75c8-11e2-bc0c-6512fc1bab5e&amp;idDocument=046b7b81-75d6-11e2-bc0c-6512fc1bab5e" TargetMode="External"/><Relationship Id="rIdvohqyljnexwgm7r5lzghk" Type="http://schemas.openxmlformats.org/officeDocument/2006/relationships/hyperlink" Target="https://www3.gobiernodecanarias.org/noticias/sanidad-despliega-servicio-de-fisioterapia-en-24-zonas-basicas-de-gran-canaria-tenerife-lanzarote-y-fuerteventura/" TargetMode="External"/><Relationship Id="rIdahccpso-rkchgplpqhxpv" Type="http://schemas.openxmlformats.org/officeDocument/2006/relationships/hyperlink" Target="https://castillalamancha.es/actualidad/notasdeprensa" TargetMode="External"/><Relationship Id="rId7yot0e9ewsbz6z0isbxtj" Type="http://schemas.openxmlformats.org/officeDocument/2006/relationships/hyperlink" Target="https://www.saludcastillayleon.es/profesionales/es/programas-guias-clinicas/guias-practica-clinica/guias-clinicas.ficheros/1105660-Fisioterapia.PDF" TargetMode="External"/><Relationship Id="rIdsrjljxgggkibtyk8fpuf1" Type="http://schemas.openxmlformats.org/officeDocument/2006/relationships/hyperlink" Target="https://www.san.gva.es/documents/d/assistencia-sanitaria/2_cartera_servicios_atencion_primaria_comunitaria_resumida_es-pdf" TargetMode="External"/><Relationship Id="rIdvz78hjr9qyion7xlxwqwb" Type="http://schemas.openxmlformats.org/officeDocument/2006/relationships/hyperlink" Target="https://www.areasaludplasencia.es/docs/pgc/ses_plasencia_derivacion_fisioterapia_rehabilitacion.pdf" TargetMode="External"/><Relationship Id="rIduepri5aun0htvkyag6eog" Type="http://schemas.openxmlformats.org/officeDocument/2006/relationships/hyperlink" Target="https://www.sergas.gal/Asistencia-sanitaria/Documents/1795/Carteira_Unidades_de_fisioterapia_de_atencion_primaria.pdf" TargetMode="External"/><Relationship Id="rIdkmeji3cdkltvihjoaojo_" Type="http://schemas.openxmlformats.org/officeDocument/2006/relationships/hyperlink" Target="https://www.comunidad.madrid/hospital/atencionprimaria/sites/atencionprimaria/files/2025-10/Cartera%20de%20Servicios%20Estandarizados%20AP.%20Actualizaci%C3%B3n%202510.pdf" TargetMode="External"/><Relationship Id="rIdc7b45kznp539zs1jo1iem" Type="http://schemas.openxmlformats.org/officeDocument/2006/relationships/hyperlink" Target="https://www.murciasalud.es/en/-/el-sms-aprueba-la-cartera-de-servicios-de-fisioterapia-en-atenci%C3%B3n-primaria-para-mejorar-la-atenci%C3%B3n-de-los-pacientes" TargetMode="External"/><Relationship Id="rIdl44zt3j_hfsnzczwo9oe3" Type="http://schemas.openxmlformats.org/officeDocument/2006/relationships/hyperlink" Target="https://www.formacionsalud.navarra.es/actividad/idactividad/7576" TargetMode="External"/><Relationship Id="rId8j0wfphmbz_uznqar5gyw" Type="http://schemas.openxmlformats.org/officeDocument/2006/relationships/hyperlink" Target="https://www.irekia.euskadi.eus/es/news/95370" TargetMode="External"/><Relationship Id="rIdpi7ov3sio-ggeos3fu7wz" Type="http://schemas.openxmlformats.org/officeDocument/2006/relationships/hyperlink" Target="https://acis.sergas.gal/cartafol/InformeXide2023?idioma=es" TargetMode="External"/><Relationship Id="rId-o1wjdoqm5kxwsx08sr8o" Type="http://schemas.openxmlformats.org/officeDocument/2006/relationships/hyperlink" Target="https://www.redaccionmedica.com/autonomias/galicia/los-fisioterapeutas-del-sergas-podran-atender-a-pacientes-bajo-demanda-7761" TargetMode="External"/><Relationship Id="rId31maqkelijbi1inqaa741" Type="http://schemas.openxmlformats.org/officeDocument/2006/relationships/hyperlink" Target="https://www.comunidad.madrid/hospital/atencionprimaria/ciudadanos/unidades-atencion-especifica-fisioterapia" TargetMode="External"/><Relationship Id="rIdema7o7ge_-ji2ao1yt2mo" Type="http://schemas.openxmlformats.org/officeDocument/2006/relationships/hyperlink" Target="https://www.longtermplan.nhs.uk/online-version/chapter-1-a-new-service-model-for-the-21st-century/" TargetMode="External"/><Relationship Id="rIdi8uqai4id_bxmla5li0cn" Type="http://schemas.openxmlformats.org/officeDocument/2006/relationships/hyperlink" Target="https://www.england.nhs.uk/wp-content/uploads/2019/12/network-contract-des-additional-roles-reimbursement-scheme-guidance-december2019.pdf" TargetMode="External"/><Relationship Id="rIdfqdu1oqqamj4nk-uudifk" Type="http://schemas.openxmlformats.org/officeDocument/2006/relationships/hyperlink" Target="https://www.hee.nhs.uk/our-work/allied-health-professions/enable-workforce/roadmaps-practice/first-contact-practitioners-roadmaps-practice" TargetMode="External"/><Relationship Id="rId_omovwjt9pvxs6ucubkpe" Type="http://schemas.openxmlformats.org/officeDocument/2006/relationships/hyperlink" Target="https://www.csp.org.uk/system/files/001404_fcp_guidance_england_2018.pdf" TargetMode="External"/><Relationship Id="rId_aorcge3xsam7-x_j5c4o" Type="http://schemas.openxmlformats.org/officeDocument/2006/relationships/hyperlink" Target="https://pubmed.ncbi.nlm.nih.gov/9219412/" TargetMode="External"/><Relationship Id="rId8qmokdxq1xwwbhsmjwqoi" Type="http://schemas.openxmlformats.org/officeDocument/2006/relationships/hyperlink" Target="https://doi.org/10.1177/095148489701000403" TargetMode="External"/><Relationship Id="rIdn2tfo1nv4ahqrmcagv8dc" Type="http://schemas.openxmlformats.org/officeDocument/2006/relationships/hyperlink" Target="https://doi.org/10.1017/S1463423616000189" TargetMode="External"/><Relationship Id="rId8_gjcfecpfkyeftuu3kqu" Type="http://schemas.openxmlformats.org/officeDocument/2006/relationships/hyperlink" Target="https://doi.org/10.1016/j.physio.2021.08.002" TargetMode="External"/><Relationship Id="rIdssdq_jh21esgohorkt0fd" Type="http://schemas.openxmlformats.org/officeDocument/2006/relationships/hyperlink" Target="https://doi.org/10.1002/msc.1599" TargetMode="External"/><Relationship Id="rIdgj1da44t1zm7xq7m38zt2" Type="http://schemas.openxmlformats.org/officeDocument/2006/relationships/hyperlink" Target="https://doi.org/10.1016/j.physio.2021.08.003" TargetMode="External"/><Relationship Id="rIdgkdzkb52_m-ny4haru-jv" Type="http://schemas.openxmlformats.org/officeDocument/2006/relationships/hyperlink" Target="https://doi.org/10.3399/BJGP.2023.0560" TargetMode="External"/><Relationship Id="rIdj2osfv-l-l5d7huj6qu4c" Type="http://schemas.openxmlformats.org/officeDocument/2006/relationships/hyperlink" Target="https://doi.org/10.3310/RTKY7521" TargetMode="External"/><Relationship Id="rIdbtn2q87gsytvmyjavzrvi" Type="http://schemas.openxmlformats.org/officeDocument/2006/relationships/hyperlink" Target="https://doi.org/10.2522/ptj.20070308" TargetMode="External"/><Relationship Id="rId_ewetldirretlygzochyy" Type="http://schemas.openxmlformats.org/officeDocument/2006/relationships/hyperlink" Target="https://doi.org/10.2522/ptj.20130309" TargetMode="External"/><Relationship Id="rIdsnnvhj4i8l7b447l8kbw1" Type="http://schemas.openxmlformats.org/officeDocument/2006/relationships/hyperlink" Target="https://www.nivel.nl/nl/nieuws/jaarcijfers-fysiotherapie-2024-aandeel-patienten-met-een-verwijzing-daalt" TargetMode="External"/><Relationship Id="rIdazieqzeoftz6_zghovjmg" Type="http://schemas.openxmlformats.org/officeDocument/2006/relationships/hyperlink" Target="https://www.regjeringen.no/no/dokumenter/prop.-71-l-20162017/id2546178/?ch=9" TargetMode="External"/><Relationship Id="rIdrke5wh2pcd-nwbvujxgs_" Type="http://schemas.openxmlformats.org/officeDocument/2006/relationships/hyperlink" Target="https://www.1177.se/Stockholm/undersokning-behandling/smartbehandlingar-och-rehabilitering/rehabilitering-i-stockholms-lan2/rehabilitering-i-oppenvard/" TargetMode="External"/><Relationship Id="rIdbmkmuojgnbmv92fcwrkyb" Type="http://schemas.openxmlformats.org/officeDocument/2006/relationships/hyperlink" Target="https://doi.org/10.1177/1759720X19827504" TargetMode="External"/><Relationship Id="rIdu8bguqjtdl4xqmmt3kmjd" Type="http://schemas.openxmlformats.org/officeDocument/2006/relationships/hyperlink" Target="https://doi.org/10.1186/s12891-019-2553-9" TargetMode="External"/><Relationship Id="rIdzbbnau4f4jvstm4ng17cx" Type="http://schemas.openxmlformats.org/officeDocument/2006/relationships/hyperlink" Target="https://australian.physio/sites/default/files/APA%20Position-Statement%20on%20Scope%20of%20Practice%20May%202024_FA.pdf" TargetMode="External"/><Relationship Id="rIdo9lhl_pniwavaao25c_xp" Type="http://schemas.openxmlformats.org/officeDocument/2006/relationships/hyperlink" Target="https://physiotherapy.ca/app/uploads/2022/08/primary-health-care_en.pdf" TargetMode="External"/><Relationship Id="rIdyvxy2ehuz7qu6evaxqds8" Type="http://schemas.openxmlformats.org/officeDocument/2006/relationships/hyperlink" Target="https://doi.org/10.3138/ptc.2012-53" TargetMode="External"/><Relationship Id="rId8la5o5ym35jtycwseqtxp" Type="http://schemas.openxmlformats.org/officeDocument/2006/relationships/hyperlink" Target="https://doi.org/10.3138/ptc.2011-29" TargetMode="External"/><Relationship Id="rIdsh8v9wzm89waoftbngbrd" Type="http://schemas.openxmlformats.org/officeDocument/2006/relationships/hyperlink" Target="https://doi.org/10.1186/s13063-017-2279-7" TargetMode="External"/><Relationship Id="rId_hch-yka-f_4agmdrrzaa" Type="http://schemas.openxmlformats.org/officeDocument/2006/relationships/hyperlink" Target="https://doi.org/10.1002/msc.1100" TargetMode="External"/><Relationship Id="rIdqwo7n_nzexsocve4nhbaj" Type="http://schemas.openxmlformats.org/officeDocument/2006/relationships/hyperlink" Target="https://doi.org/10.1186/s12891-020-03673-9" TargetMode="External"/><Relationship Id="rIdvtjsa-tymki5uljpnjgro" Type="http://schemas.openxmlformats.org/officeDocument/2006/relationships/hyperlink" Target="https://doi.org/10.1016/j.physio.2017.08.004" TargetMode="External"/><Relationship Id="rIdbktrnfpzepzfpkhijl2uq" Type="http://schemas.openxmlformats.org/officeDocument/2006/relationships/hyperlink" Target="https://doi.org/10.1016/j.jphys.2023.08.005" TargetMode="External"/><Relationship Id="rId7o1c19rzxdi5v6de5lovp" Type="http://schemas.openxmlformats.org/officeDocument/2006/relationships/hyperlink" Target="https://doi.org/10.7417/CT.2018.2087" TargetMode="External"/><Relationship Id="rIdkdis3jvzaeth7goy4bbe5" Type="http://schemas.openxmlformats.org/officeDocument/2006/relationships/hyperlink" Target="https://doi.org/10.1080/09638288.2019.1674388" TargetMode="External"/><Relationship Id="rIdaf2i3bniifun-gkfbqtml" Type="http://schemas.openxmlformats.org/officeDocument/2006/relationships/hyperlink" Target="https://doi.org/10.1371/journal.pone.0235364" TargetMode="External"/><Relationship Id="rIduu5ytiy6h3ij2tblcydvc" Type="http://schemas.openxmlformats.org/officeDocument/2006/relationships/hyperlink" Target="https://doi.org/10.3390/jcm12185832" TargetMode="External"/><Relationship Id="rIdfseihgc3zpbor2hw5d33v" Type="http://schemas.openxmlformats.org/officeDocument/2006/relationships/hyperlink" Target="https://doi.org/10.1016/j.physio.2021.08.005" TargetMode="External"/><Relationship Id="rIdmczzf9kszj4ufmn0ekfas" Type="http://schemas.openxmlformats.org/officeDocument/2006/relationships/hyperlink" Target="https://doi.org/10.1016/j.physio.2020.04.006" TargetMode="External"/><Relationship Id="rIdgqgibzn-kv-exdwxq15cu" Type="http://schemas.openxmlformats.org/officeDocument/2006/relationships/hyperlink" Target="https://doi.org/10.1186/s12875-026-03186-9" TargetMode="External"/><Relationship Id="rIdbcabalvveevqbzafrv97t" Type="http://schemas.openxmlformats.org/officeDocument/2006/relationships/hyperlink" Target="https://doi.org/10.1093/fampra/cmag046" TargetMode="External"/><Relationship Id="rIdk-zw_ewb5s4eg3ho1rz3e" Type="http://schemas.openxmlformats.org/officeDocument/2006/relationships/hyperlink" Target="https://doi.org/10.1080/09593985.2019.1571135" TargetMode="External"/><Relationship Id="rId_2_blirmh_njn7wgzvhdo" Type="http://schemas.openxmlformats.org/officeDocument/2006/relationships/hyperlink" Target="https://pubmed.ncbi.nlm.nih.gov/11265271/" TargetMode="External"/><Relationship Id="rIdplhaamxirdc-ivlwhqy50" Type="http://schemas.openxmlformats.org/officeDocument/2006/relationships/hyperlink" Target="https://ec.europa.eu/eurostat/web/products-eurostat-news/w/ddn-20230818-1" TargetMode="External"/><Relationship Id="rId6aayn81sjljyulwjr1z0n" Type="http://schemas.openxmlformats.org/officeDocument/2006/relationships/hyperlink" Target="https://ec.europa.eu/eurostat/statistics-explained/index.php?title=Healthcare_personnel_statistics_-_dentists,_pharmacists_and_physiotherapists" TargetMode="External"/><Relationship Id="rIdzaftd7cweeepqwwg8fbzq" Type="http://schemas.openxmlformats.org/officeDocument/2006/relationships/hyperlink" Target="https://world.physio/sites/default/files/2025-01/AMC2024-Global-report.pdf" TargetMode="External"/><Relationship Id="rId5g8pfbsyqtcjpgioxhq7v" Type="http://schemas.openxmlformats.org/officeDocument/2006/relationships/hyperlink" Target="https://doi.org/10.2522/ptj.20120060" TargetMode="External"/><Relationship Id="rIdgzujpq7betroczk5l_pzr" Type="http://schemas.openxmlformats.org/officeDocument/2006/relationships/hyperlink" Target="https://doi.org/10.1136/bjsports-2018-099878" TargetMode="External"/><Relationship Id="rIdesc-yuul_wpw_yutmvhwj" Type="http://schemas.openxmlformats.org/officeDocument/2006/relationships/hyperlink" Target="https://doi.org/10.1002/14651858.CD012424.pub2" TargetMode="External"/><Relationship Id="rIdqakksr8bra_vzphdui_is" Type="http://schemas.openxmlformats.org/officeDocument/2006/relationships/hyperlink" Target="https://doi.org/10.3390/jcm9041201" TargetMode="External"/><Relationship Id="rIdzwplpymmg-js-n-sd6u4g" Type="http://schemas.openxmlformats.org/officeDocument/2006/relationships/hyperlink" Target="https://doi.org/10.1002/14651858.CD004376.pub3" TargetMode="External"/><Relationship Id="rIdgcmqjljxzqc90r7n0gzu-" Type="http://schemas.openxmlformats.org/officeDocument/2006/relationships/hyperlink" Target="https://doi.org/10.1002/14651858.CD003793.pub3" TargetMode="External"/><Relationship Id="rIdenjyfwwl-nkwqcz2mxx-d" Type="http://schemas.openxmlformats.org/officeDocument/2006/relationships/hyperlink" Target="https://doi.org/10.1002/14651858.CD009790.pub2" TargetMode="External"/><Relationship Id="rIdrizg_njlicadrdtkexe8x" Type="http://schemas.openxmlformats.org/officeDocument/2006/relationships/hyperlink" Target="https://doi.org/10.1080/09593985.2016.1194646" TargetMode="External"/><Relationship Id="rIdwssc5ptg1mkipbfsgfl_y" Type="http://schemas.openxmlformats.org/officeDocument/2006/relationships/hyperlink" Target="https://doi.org/10.1186/s13643-015-0120-5" TargetMode="External"/><Relationship Id="rId1uhgwkgimqjlh6rgrwsjz" Type="http://schemas.openxmlformats.org/officeDocument/2006/relationships/hyperlink" Target="https://doi.org/10.1016/j.aprim.2015.10.007" TargetMode="External"/><Relationship Id="rIdcrrtw9aqeocbx9ksjwaoc" Type="http://schemas.openxmlformats.org/officeDocument/2006/relationships/hyperlink" Target="https://doi.org/10.3390/jcm12206478" TargetMode="External"/><Relationship Id="rIdnhmrphjzwlttfuxlx50gp" Type="http://schemas.openxmlformats.org/officeDocument/2006/relationships/hyperlink" Target="https://doi.org/10.1016/j.aprim.2016.09.010" TargetMode="External"/><Relationship Id="rIds6aeiuh1hm_4e8mn6cqtk" Type="http://schemas.openxmlformats.org/officeDocument/2006/relationships/hyperlink" Target="https://doi.org/10.1093/ageing/afw242" TargetMode="External"/><Relationship Id="rIdm8yobuqjy-fetr7h4ypry" Type="http://schemas.openxmlformats.org/officeDocument/2006/relationships/hyperlink" Target="https://doi.org/10.1093/gerona/glx259" TargetMode="External"/><Relationship Id="rIddn1ppyydw0sotzgt8c0g4" Type="http://schemas.openxmlformats.org/officeDocument/2006/relationships/hyperlink" Target="https://doi.org/10.1186/s12877-018-1024-8" TargetMode="External"/><Relationship Id="rIdoo7v0h_lh0mdjwqcronra" Type="http://schemas.openxmlformats.org/officeDocument/2006/relationships/hyperlink" Target="https://doi.org/10.1007/s00586-010-1675-4" TargetMode="External"/><Relationship Id="rId0z-6xgadr9yoykcos1fzc" Type="http://schemas.openxmlformats.org/officeDocument/2006/relationships/hyperlink" Target="https://www.comunidad.madrid/sites/default/files/doc/sanidad/epid/iesp2023_resumen_ejecutivo.pdf" TargetMode="External"/><Relationship Id="rId7lejcizeptdngcwh6fgzf" Type="http://schemas.openxmlformats.org/officeDocument/2006/relationships/hyperlink" Target="https://www.boe.es/diario_boe/txt.php?id=BOE-A-2008-12389" TargetMode="External"/><Relationship Id="rIdnjdnpsdu6bxq78aeybkzu" Type="http://schemas.openxmlformats.org/officeDocument/2006/relationships/hyperlink" Target="https://www.comunidad.madrid/noticias/2022/05/17/comunidad-madrid-culmina-implantacion-ecografia-centros-salud-disponen-450-aparatos-diagnosticos-fijos-consola-ultra-portatiles" TargetMode="External"/><Relationship Id="rIdtn8lzynfvvnbeb-jztjku" Type="http://schemas.openxmlformats.org/officeDocument/2006/relationships/hyperlink" Target="https://www.comunidad.madrid/noticias/2025/12/22/atencion-primaria-comunidad-madrid-impulsa-formacion-fisioterapia-manual-e-invasiva-mejorar-abordaje-dolor-musculoesqueletico" TargetMode="External"/><Relationship Id="rId8ilfdhvgl8cawd-gy5a2q" Type="http://schemas.openxmlformats.org/officeDocument/2006/relationships/hyperlink" Target="https://doi.org/10.1136/bmj.326.7386.417" TargetMode="External"/><Relationship Id="rIdv0xqvdlqbrxmqgrxbqapj" Type="http://schemas.openxmlformats.org/officeDocument/2006/relationships/hyperlink" Target="https://www.legislation.gov.uk/uksi/2017/1322" TargetMode="External"/><Relationship Id="rIdfbtcdptwqz3xkzwuzlinv" Type="http://schemas.openxmlformats.org/officeDocument/2006/relationships/hyperlink" Target="https://pubmed.ncbi.nlm.nih.gov/8114236/" TargetMode="External"/><Relationship Id="rId_tv_1yzpyr0aflv95iuvp" Type="http://schemas.openxmlformats.org/officeDocument/2006/relationships/hyperlink" Target="https://www.sanidad.gob.es/gabinete/notasPrensa.do?id=6969" TargetMode="External"/><Relationship Id="rIdqoibvxfc53lcb3wwfsoxv" Type="http://schemas.openxmlformats.org/officeDocument/2006/relationships/hyperlink" Target="https://doi.org/10.1136/bmj.f7095" TargetMode="External"/><Relationship Id="rIdtt0cbpps9zktruyzjocc0" Type="http://schemas.openxmlformats.org/officeDocument/2006/relationships/hyperlink" Target="https://doi.org/10.1016/S0140-6736(18)30489-6" TargetMode="External"/><Relationship Id="rIdtxqnndnc-y2h_egp9c8z_" Type="http://schemas.openxmlformats.org/officeDocument/2006/relationships/hyperlink" Target="https://doi.org/10.1007/s00586-016-4467-7" TargetMode="External"/><Relationship Id="rId1s_w_qsfivifu34kdayvv" Type="http://schemas.openxmlformats.org/officeDocument/2006/relationships/hyperlink" Target="https://doi.org/10.1136/bjsports-2016-096515" TargetMode="External"/><Relationship Id="rIdl12eb95mzzlvwfeb9bi_y" Type="http://schemas.openxmlformats.org/officeDocument/2006/relationships/hyperlink" Target="https://doi.org/10.1002/14651858.CD005619.pub3" TargetMode="External"/><Relationship Id="rId5gzxskjtxenviwclnls0m" Type="http://schemas.openxmlformats.org/officeDocument/2006/relationships/hyperlink" Target="https://doi.org/10.1136/bmj.38961.584653.AE" TargetMode="External"/><Relationship Id="rIddytgj9rl32labixensx0z" Type="http://schemas.openxmlformats.org/officeDocument/2006/relationships/hyperlink" Target="https://doi.org/10.1016/S0140-6736(11)60937-9" TargetMode="External"/><Relationship Id="rId7v1siub8wfqb_swq16q-v" Type="http://schemas.openxmlformats.org/officeDocument/2006/relationships/hyperlink" Target="https://doi.org/10.1016/j.aprim.2010.05.019" TargetMode="External"/><Relationship Id="rIdyphcvgycmxivii8pk5kfp" Type="http://schemas.openxmlformats.org/officeDocument/2006/relationships/hyperlink" Target="https://doi.org/10.1002/jor.24820" TargetMode="External"/><Relationship Id="rIdrbhsntnlrczirabkggwwu" Type="http://schemas.openxmlformats.org/officeDocument/2006/relationships/hyperlink" Target="https://doi.org/10.1136/bjsports-2017-098106" TargetMode="External"/><Relationship Id="rIdbyxafxx9jgu4char4xzqo" Type="http://schemas.openxmlformats.org/officeDocument/2006/relationships/hyperlink" Target="https://doi.org/10.2519/jospt.2017.0302" TargetMode="External"/><Relationship Id="rIdyhtew1h0orma8f9izwuxw" Type="http://schemas.openxmlformats.org/officeDocument/2006/relationships/hyperlink" Target="https://doi.org/10.1136/ard.2004.021188" TargetMode="External"/><Relationship Id="rId33jnllzas88cqrv0igcbv" Type="http://schemas.openxmlformats.org/officeDocument/2006/relationships/hyperlink" Target="https://doi.org/10.1302/2046-3758.27.2000163" TargetMode="External"/><Relationship Id="rIdd-qenwhz-lnjehqie8or0" Type="http://schemas.openxmlformats.org/officeDocument/2006/relationships/hyperlink" Target="https://doi.org/10.1302/0301-620X.99B6.BJJ-2016-0569.R1" TargetMode="External"/><Relationship Id="rIdk3lfnrjte2o_lnh6r2wls" Type="http://schemas.openxmlformats.org/officeDocument/2006/relationships/hyperlink" Target="https://doi.org/10.1136/bmj-2025-086201" TargetMode="External"/><Relationship Id="rIdo1bl-xlzhpfop0dgingmf" Type="http://schemas.openxmlformats.org/officeDocument/2006/relationships/hyperlink" Target="https://doi.org/10.1302/0301-620X.96B1.32168" TargetMode="External"/><Relationship Id="rId-r_fpa6_n0zxpijcfy61u" Type="http://schemas.openxmlformats.org/officeDocument/2006/relationships/hyperlink" Target="https://doi.org/10.1136/bjsports-2019-101970" TargetMode="External"/><Relationship Id="rIdtaybhhyezt2ahktutr2qk" Type="http://schemas.openxmlformats.org/officeDocument/2006/relationships/hyperlink" Target="https://doi.org/10.2519/jospt.2023.0303" TargetMode="External"/><Relationship Id="rIdjyltgrtil9rykj8i90nu0" Type="http://schemas.openxmlformats.org/officeDocument/2006/relationships/hyperlink" Target="https://doi.org/10.3928/01477447-20160926-06" TargetMode="External"/><Relationship Id="rIdn5kuyrikygd73g0sf2dnc" Type="http://schemas.openxmlformats.org/officeDocument/2006/relationships/hyperlink" Target="https://www.comunidad.madrid/servicios/salud/portal-estadistico-personal-servicio-madrileno-salud" TargetMode="External"/><Relationship Id="rIdt0k0jkp9i_6kwitlqjeqc" Type="http://schemas.openxmlformats.org/officeDocument/2006/relationships/hyperlink" Target="https://doi.org/10.1016/j.physio.2020.04.005" TargetMode="External"/><Relationship Id="rId8v3ngpmasmhcxfgzs2agt" Type="http://schemas.openxmlformats.org/officeDocument/2006/relationships/hyperlink" Target="https://www.ine.es/dyngs/INEbase/operacion.htm?c=Estadistica_C&amp;cid=1254736177012&amp;menu=ultiDatos&amp;idp=1254734710990" TargetMode="External"/><Relationship Id="rIdy4wasbzb0ttgede6sbotb" Type="http://schemas.openxmlformats.org/officeDocument/2006/relationships/hyperlink" Target="https://doi.org/10.4415/ANN_18_03_10" TargetMode="External"/><Relationship Id="rIdsy7gp0g-n4ozgbltpnxvl" Type="http://schemas.openxmlformats.org/officeDocument/2006/relationships/hyperlink" Target="https://www.csp.org.uk/news/2022-01-19-csp-urges-government-boost-fcp-roll-out-across-england" TargetMode="External"/><Relationship Id="rIddyysy5i51m2ob3ey-einj" Type="http://schemas.openxmlformats.org/officeDocument/2006/relationships/hyperlink" Target="https://doi.org/10.1007/s00586-010-1676-3" TargetMode="External"/><Relationship Id="rIdvqq8dmnvazwfmuq8b1hbd" Type="http://schemas.openxmlformats.org/officeDocument/2006/relationships/hyperlink" Target="https://doi.org/10.1136/bmj.326.7395.911" TargetMode="External"/><Relationship Id="rIdkuc1p2gqxla0wa82kazsk" Type="http://schemas.openxmlformats.org/officeDocument/2006/relationships/hyperlink" Target="https://doi.org/10.1007/s00586-012-2272-5" TargetMode="External"/><Relationship Id="rIdg9ydo7k1cwgxrtvsjmmzu" Type="http://schemas.openxmlformats.org/officeDocument/2006/relationships/hyperlink" Target="https://www.clubexcelencia.org/conocimiento/plataforma-de-conocimiento/modelo-efqm-2025" TargetMode="External"/><Relationship Id="rIdwnyzyqkbcq9fjoyzirzi2" Type="http://schemas.openxmlformats.org/officeDocument/2006/relationships/hyperlink" Target="https://doi.org/10.1080/09638288.2025.2460723" TargetMode="External"/><Relationship Id="rId_ms3ig8pkgvs8nv5t4kcn" Type="http://schemas.openxmlformats.org/officeDocument/2006/relationships/hyperlink" Target="https://doi.org/10.2340/jrm.v55.11950" TargetMode="External"/><Relationship Id="rId9" Type="http://schemas.openxmlformats.org/officeDocument/2006/relationships/image" Target="media/ebc1909e3658e59a798e2ba2a7e8ff26edf07eda.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Fisioterapia en Atención Primaria en el Sistema Nacional de Salud</dc:title>
  <dc:creator>Un-named</dc:creator>
  <dc:description>Documento técnico: modelo organizativo, acceso, dotación y evaluación</dc:description>
  <cp:lastModifiedBy>Un-named</cp:lastModifiedBy>
  <cp:revision>1</cp:revision>
  <dcterms:created xsi:type="dcterms:W3CDTF">2026-09-23T17:46:56.389Z</dcterms:created>
  <dcterms:modified xsi:type="dcterms:W3CDTF">2026-09-23T17:46:56.389Z</dcterms:modified>
</cp:coreProperties>
</file>

<file path=docProps/custom.xml><?xml version="1.0" encoding="utf-8"?>
<Properties xmlns="http://schemas.openxmlformats.org/officeDocument/2006/custom-properties" xmlns:vt="http://schemas.openxmlformats.org/officeDocument/2006/docPropsVTypes"/>
</file>