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E74B5"/>
          <w:sz w:val="40"/>
        </w:rPr>
        <w:t>RT-Interact Database Repair Audit</w:t>
      </w:r>
    </w:p>
    <w:p>
      <w:r>
        <w:rPr>
          <w:i/>
          <w:sz w:val="21"/>
        </w:rPr>
        <w:t>Repair summary for the deployed static feed after site-taxonomy simplification and high-risk site-scope correction.</w:t>
      </w:r>
    </w:p>
    <w:p>
      <w:r>
        <w:rPr>
          <w:b/>
        </w:rPr>
        <w:t>Date: 2026-07-14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deployed feed was repaired for the five highest-priority grouped site blocks: brain, lung, oesophagus, pelvis, and head and neck.</w:t>
      </w:r>
    </w:p>
    <w:p>
      <w:pPr>
        <w:pStyle w:val="ListBullet"/>
      </w:pPr>
      <w:r>
        <w:t>The prototype now produces anatomy-scoped toxicity language for those repaired blocks instead of generic cross-site drug toxicity bundles.</w:t>
      </w:r>
    </w:p>
    <w:p>
      <w:pPr>
        <w:pStyle w:val="ListBullet"/>
      </w:pPr>
      <w:r>
        <w:t>Empty-citation 'Direct RT-combination' claims were cleared from all five repaired blocks.</w:t>
      </w:r>
    </w:p>
    <w:p>
      <w:pPr>
        <w:pStyle w:val="ListBullet"/>
      </w:pPr>
      <w:r>
        <w:t>The remaining unresolved work is now concentrated in unrepaired grouped site clusters and in residual row-by-row evidence clean-up.</w:t>
      </w:r>
    </w:p>
    <w:p>
      <w:pPr>
        <w:pStyle w:val="Heading2"/>
      </w:pPr>
      <w:r>
        <w:t>Current Feed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8"/>
              </w:rPr>
              <w:t>Site key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Direct/partial direct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Direct with empty citations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No applicable evidence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Drug-level generic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brain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lung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oesophagus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642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pelvis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117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head_neck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611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Repaired Blocks</w:t>
      </w:r>
    </w:p>
    <w:p>
      <w:pPr>
        <w:pStyle w:val="Heading2"/>
      </w:pPr>
      <w:r>
        <w:t>Brain</w:t>
      </w:r>
    </w:p>
    <w:p>
      <w:r>
        <w:t>CNS-scoped toxicity language restored; unsupported direct-evidence labels downgraded; fallback messaging no longer implies safety when exact citations are missing.</w:t>
      </w:r>
    </w:p>
    <w:p>
      <w:r>
        <w:t>Rows: 615. Direct/partial-direct rows remaining: 43. Direct rows with empty citations: 0. No-applicable-evidence rows: 84.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brain + palliative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CNS toxicity additive with WBRT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Neurologic/CNS; Radionecrosis/oedema; Ocular; Ototoxicity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Abemaciclib + brain + stereotactic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High-risk interaction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CNS toxicity + radionecrosis/oedema risk with stereotactic brain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Neurologic/CNS; Radionecrosis/oedema; Ocular; Ototoxicity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Lung</w:t>
      </w:r>
    </w:p>
    <w:p>
      <w:r>
        <w:t>Thoracic outputs now foreground pulmonary/oesophageal risk and stereotactic caveats for central/ultracentral versus peripheral treatments.</w:t>
      </w:r>
    </w:p>
    <w:p>
      <w:r>
        <w:t>Rows: 618. Direct/partial-direct rows remaining: 32. Direct rows with empty citations: 0. No-applicable-evidence rows: 87.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Abemaciclib + thoracic RT + stereotactic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High-risk interaction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pulmonary and oesophageal toxicity with stereotactic thoracic RT (central/ultracentral: oesophagus, heart, airway, and great-vessel risk; peripheral: lung/chest-wall risk)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Pulmonary; Oesophageal; Cardiac; Vascular; Chest wall/ribs; Airway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thoracic RT + palliative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pulmonary and oesophageal toxicity with palliative thoracic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Pulmonary; Oesophageal; Cardiac; Vascular; Chest wall/ribs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</w:tbl>
    <w:p>
      <w:pPr>
        <w:pStyle w:val="Heading2"/>
      </w:pPr>
      <w:r>
        <w:t>Oesophagus</w:t>
      </w:r>
    </w:p>
    <w:p>
      <w:r>
        <w:t>Oesophageal rows now foreground dysphagia, mucosal injury, and fistula/vascular concern instead of generic class toxicity phrasing.</w:t>
      </w:r>
    </w:p>
    <w:p>
      <w:r>
        <w:t>Rows: 642. Direct/partial-direct rows remaining: 23. Direct rows with empty citations: 0. No-applicable-evidence rows: 207.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oesophageal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Radiosensitisation → grade ≥3 oesophagitis up to 44%; compliance ~54% in Intergroup trial; mortality risk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Oesophageal/mucosal; Pulmonary; Cardiac; Neurologic (cord)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Abemaciclib + oesophageal RT + stereotactic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High-risk interaction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oesophagitis/dysphagia + fistula/vascular toxicity with stereotactic oesophageal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Oesophageal/mucosal; Pulmonary; Cardiac; Neurologic (cord); Vascular/fistula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Pelvis</w:t>
      </w:r>
    </w:p>
    <w:p>
      <w:r>
        <w:t>Pelvic outputs now foreground bowel, GU, marrow, and fistula/perforation issues rather than undifferentiated systemic toxicity bundles.</w:t>
      </w:r>
    </w:p>
    <w:p>
      <w:r>
        <w:t>Rows: 614. Direct/partial-direct rows remaining: 29. Direct rows with empty citations: 0. No-applicable-evidence rows: 117.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pelvic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Myelosuppression from pelvic bone marrow + cisplatin; GI toxicity; fistula risk at high brachytherapy doses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GI/bowel; Genitourinary; Pelvic marrow/haematologic; Skin/perineal; Fistula/perforation; Sexual/fertility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Abemaciclib + pelvic RT + stereotactic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High-risk interaction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bowel toxicity + GU toxicity with stereotactic pelvic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GI/bowel; Genitourinary; Pelvic marrow/haematologic; Skin/perineal; Fistula/perforation; Sexual/fertility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pPr>
        <w:pStyle w:val="Heading2"/>
      </w:pPr>
      <w:r>
        <w:t>Head Neck</w:t>
      </w:r>
    </w:p>
    <w:p>
      <w:r>
        <w:t>Head-and-neck rows now foreground mucosal, swallowing, salivary, airway, skin, and carotid toxicity. Unsupported direct labels were downgraded and generic 'no-data' outputs were replaced with anatomy-scoped warnings.</w:t>
      </w:r>
    </w:p>
    <w:p>
      <w:r>
        <w:t>Rows: 611. Direct/partial-direct rows remaining: 106. Direct rows with empty citations: 0. No-applicable-evidence rows: 74.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Alert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Main warning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Toxicities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Evidence label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Cisplatin + head and neck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Established radiosensitisation with head and neck RT: severe mucositis, dysphagia, xerostomia, dermatitis, and cytopenia risk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Mucosal; Dysphagia/nutrition; Salivary/xerostomia; Skin; Airway/laryngeal oedema; Neurologic (cord/plexus); Vascular (carotid)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Evidence source not loaded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Pembrolizumab + head and neck RT + conventional RT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Moderate concern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Potential mucosal, swallowing, salivary, skin, and airway toxicity with concomitant head and neck RT; immune mucosal and airway inflammation may overlap with RT toxicity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Mucosal; Dysphagia/nutrition; Salivary/xerostomia; Skin; Airway/laryngeal oedema; Neurologic (cord/plexus); Vascular (carotid)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Indirect / class-level evidence</w:t>
            </w:r>
          </w:p>
        </w:tc>
      </w:tr>
    </w:tbl>
    <w:p>
      <w:r>
        <w:br w:type="page"/>
      </w:r>
    </w:p>
    <w:p>
      <w:pPr>
        <w:pStyle w:val="Heading1"/>
      </w:pPr>
      <w:r>
        <w:t>Remaining Unrepaired Clusters</w:t>
      </w:r>
    </w:p>
    <w:p>
      <w:r>
        <w:t>The main remaining work is no longer global restructuring. It is concentrated in unrepaired grouped sites and residual evidence-label clean-up within legacy feed rows.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8"/>
              </w:rPr>
              <w:t>Site key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Direct with empty citations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No applicable evidence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Drug-level generic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spine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627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Next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upper_abdomen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Next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breast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637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Next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skin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608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174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bone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617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mediastinum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643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243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tbi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664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</w:tbl>
    <w:p>
      <w:pPr>
        <w:pStyle w:val="Heading2"/>
      </w:pPr>
      <w:r>
        <w:t>Legacy Feed Keys Still Present</w:t>
      </w:r>
    </w:p>
    <w:p>
      <w:r>
        <w:t>The flat feed still contains legacy non-UI site keys (`mediastinum`, `tbi`, and `nonspecific`). These are not part of the simplified clinician-facing site taxonomy but remain in the deployed data file and should be handled in a later cleanup step.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Generate a second audit cycle focused on `head_neck`, `spine`, `upper_abdomen`, and `breast`.</w:t>
      </w:r>
    </w:p>
    <w:p>
      <w:pPr>
        <w:pStyle w:val="ListNumber"/>
      </w:pPr>
      <w:r>
        <w:t>Review the remaining residual 'Direct RT-combination' rows in repaired blocks one by one to confirm which are genuinely scenario-direct versus still overcalled.</w:t>
      </w:r>
    </w:p>
    <w:p>
      <w:pPr>
        <w:pStyle w:val="ListNumber"/>
      </w:pPr>
      <w:r>
        <w:t>Decide whether legacy non-UI site keys (`mediastinum`, `tbi`, `nonspecific`) should be retired or explicitly quarantined from future app use.</w:t>
      </w:r>
    </w:p>
    <w:p>
      <w:pPr>
        <w:pStyle w:val="ListNumber"/>
      </w:pPr>
      <w:r>
        <w:t>After the next audit pass, regenerate the static feed only from reviewed scenario records rather than continuing ad hoc row edits.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