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E74B5"/>
          <w:sz w:val="40"/>
        </w:rPr>
        <w:t>RT-Interact Database Repair Audit</w:t>
      </w:r>
    </w:p>
    <w:p>
      <w:r>
        <w:rPr>
          <w:i/>
          <w:sz w:val="21"/>
        </w:rPr>
        <w:t>Repair summary for the deployed static feed after site-taxonomy simplification and block-by-block scenario-scope correction.</w:t>
      </w:r>
    </w:p>
    <w:p>
      <w:r>
        <w:rPr>
          <w:b/>
        </w:rPr>
        <w:t>Date: 2026-07-18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active simplified clinician-facing site blocks have now been repaired across brain, lung, oesophagus, pelvis, head and neck, spine, upper abdomen, breast, skin, and bone.</w:t>
      </w:r>
    </w:p>
    <w:p>
      <w:pPr>
        <w:pStyle w:val="ListBullet"/>
      </w:pPr>
      <w:r>
        <w:t>Legacy non-UI blocks were also cleaned for mediastinum and total-body irradiation so the static feed reads coherently beyond the simplified front-end taxonomy.</w:t>
      </w:r>
    </w:p>
    <w:p>
      <w:pPr>
        <w:pStyle w:val="ListBullet"/>
      </w:pPr>
      <w:r>
        <w:t>Empty-citation direct-claim rows were cleared from all repaired active site blocks and from repaired legacy thoracic/TBI spot checks.</w:t>
      </w:r>
    </w:p>
    <w:p>
      <w:pPr>
        <w:pStyle w:val="ListBullet"/>
      </w:pPr>
      <w:r>
        <w:t>The main remaining residual issue is legacy `nonspecific` timing-only material plus any future row-by-row evidence refinement, not broad taxonomy failure.</w:t>
      </w:r>
    </w:p>
    <w:p>
      <w:pPr>
        <w:pStyle w:val="Heading2"/>
      </w:pPr>
      <w:r>
        <w:t>Current Feed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8"/>
              </w:rPr>
              <w:t>Site key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Direct/partial direct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 with empty citations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No applicable evidence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Drug-level generic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brain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lung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oesophagus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642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pelvis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head_neck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611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spine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627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121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upper_abdomen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breast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637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skin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608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bone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mediastinum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643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tbi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664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261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</w:tr>
    </w:tbl>
    <w:p>
      <w:r>
        <w:br w:type="page"/>
      </w:r>
    </w:p>
    <w:p>
      <w:pPr>
        <w:pStyle w:val="Heading1"/>
      </w:pPr>
      <w:r>
        <w:t>Repaired Blocks</w:t>
      </w:r>
    </w:p>
    <w:p>
      <w:pPr>
        <w:pStyle w:val="Heading2"/>
      </w:pPr>
      <w:r>
        <w:t>Brain</w:t>
      </w:r>
    </w:p>
    <w:p>
      <w:r>
        <w:t>CNS-scoped toxicity language restored; unsupported direct labels downgraded; fallback messaging no longer implies safety when exact citations are missing.</w:t>
      </w:r>
    </w:p>
    <w:p>
      <w:r>
        <w:t>Rows: 615. Direct/partial-direct rows remaining: 43. Direct rows with empty citations: 0. No-applicable-evidence rows: 84. Drug-level generic rows: 186.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brain + palliative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CNS toxicity additive with WBRT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Neurologic/CNS; Radionecrosis/oedema; Ocular; Ototoxicity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</w:tbl>
    <w:p>
      <w:pPr>
        <w:pStyle w:val="Heading2"/>
      </w:pPr>
      <w:r>
        <w:t>Lung</w:t>
      </w:r>
    </w:p>
    <w:p>
      <w:r>
        <w:t>Thoracic outputs foreground pulmonary/oesophageal risk and stereotactic caveats for central/ultracentral versus peripheral treatments.</w:t>
      </w:r>
    </w:p>
    <w:p>
      <w:r>
        <w:t>Rows: 618. Direct/partial-direct rows remaining: 32. Direct rows with empty citations: 0. No-applicable-evidence rows: 87. Drug-level generic rows: 186.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thoracic RT + stereotactic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High-risk interaction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pulmonary and oesophageal toxicity with stereotactic thoracic RT (central/ultracentral: oesophagus, heart, airway, and great-vessel risk; peripheral: lung/chest-wall risk)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Pulmonary; Oesophageal; Cardiac; Vascular; Chest wall/ribs; Airway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Oesophagus</w:t>
      </w:r>
    </w:p>
    <w:p>
      <w:r>
        <w:t>Rows foreground dysphagia, mucosal injury, and fistula/vascular concern instead of generic class-toxicity phrasing.</w:t>
      </w:r>
    </w:p>
    <w:p>
      <w:r>
        <w:t>Rows: 642. Direct/partial-direct rows remaining: 23. Direct rows with empty citations: 0. No-applicable-evidence rows: 207. Drug-level generic rows: 183.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oesophageal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Radiosensitisation → grade ≥3 oesophagitis up to 44%; compliance ~54% in Intergroup trial; mortality risk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Oesophageal/mucosal; Pulmonary; Cardiac; Neurologic (cord)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</w:tbl>
    <w:p>
      <w:pPr>
        <w:pStyle w:val="Heading2"/>
      </w:pPr>
      <w:r>
        <w:t>Pelvis</w:t>
      </w:r>
    </w:p>
    <w:p>
      <w:r>
        <w:t>Rows foreground bowel, GU, marrow, and fistula/perforation issues rather than undifferentiated systemic toxicity bundles.</w:t>
      </w:r>
    </w:p>
    <w:p>
      <w:r>
        <w:t>Rows: 614. Direct/partial-direct rows remaining: 29. Direct rows with empty citations: 0. No-applicable-evidence rows: 117. Drug-level generic rows: 183.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pelvic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Myelosuppression from pelvic bone marrow + cisplatin; GI toxicity; fistula risk at high brachytherapy doses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GI/bowel; Genitourinary; Pelvic marrow/haematologic; Skin/perineal; Fistula/perforation; Sexual/fertility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</w:tbl>
    <w:p>
      <w:pPr>
        <w:pStyle w:val="Heading2"/>
      </w:pPr>
      <w:r>
        <w:t>Head Neck</w:t>
      </w:r>
    </w:p>
    <w:p>
      <w:r>
        <w:t>Rows foreground mucosal, swallowing, salivary, airway, skin, and carotid toxicity; generic no-data outputs were replaced with anatomy-scoped warnings.</w:t>
      </w:r>
    </w:p>
    <w:p>
      <w:r>
        <w:t>Rows: 611. Direct/partial-direct rows remaining: 106.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head and neck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mucosal, swallowing, salivary, skin, and airway toxicity with concomitant head and neck RT; immune mucosal and airway inflammation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Mucosal; Dysphagia/nutrition; Salivary/xerostomia; Skin; Airway/laryngeal oedema; Neurologic (cord/plexus); Vascular (carotid)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Spine</w:t>
      </w:r>
    </w:p>
    <w:p>
      <w:r>
        <w:t>Rows foreground cord/cauda, vertebral, and marrow toxicity instead of cross-site class toxicity bundles.</w:t>
      </w:r>
    </w:p>
    <w:p>
      <w:r>
        <w:t>Rows: 627. Direct/partial-direct rows remaining: 121.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spine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marrow, vertebral, and neural toxicity with concomitant spine RT; inflammatory pain flare or neural inflammation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Neurologic (cord/cauda); Marrow/haematologic; Vertebral/bony; Pain flare/soft tissue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Upper Abdomen</w:t>
      </w:r>
    </w:p>
    <w:p>
      <w:r>
        <w:t>Rows foreground hepatic/RILD, upper-GI, pancreatic/biliary, renal, and marrow toxicity instead of vague abdominal wording.</w:t>
      </w:r>
    </w:p>
    <w:p>
      <w:r>
        <w:t>Rows: 615. Direct/partial-direct rows remaining: 120.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upper-abdominal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hepatic, upper-GI, pancreatic/biliary, renal, and marrow toxicity with concomitant upper-abdominal RT; immune hepatitis, pancreatitis, or enteritis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Hepatic/RILD; Upper GI (stomach/duodenum); Pancreatic/biliary; Renal; Marrow/haematologic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Breast</w:t>
      </w:r>
    </w:p>
    <w:p>
      <w:r>
        <w:t>Rows foreground skin/chest wall, pulmonary, cardiac, breast/soft-tissue, and lymphoedema toxicity; immune and HER2 rows now read coherently.</w:t>
      </w:r>
    </w:p>
    <w:p>
      <w:r>
        <w:t>Rows: 637. Direct/partial-direct rows remaining: 125.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breast/chest-wall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skin/chest-wall, pulmonary, cardiac, breast/soft-tissue, and lymphoedema toxicity with concomitant breast/chest-wall RT; dermatitis, pneumonitis, and neutropenia may worsen tolerance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Skin/chest wall; Pulmonary; Cardiac; Breast/soft tissue; Lymphoedema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Direct RT-combination</w:t>
            </w:r>
          </w:p>
        </w:tc>
      </w:tr>
    </w:tbl>
    <w:p>
      <w:pPr>
        <w:pStyle w:val="Heading2"/>
      </w:pPr>
      <w:r>
        <w:t>Skin</w:t>
      </w:r>
    </w:p>
    <w:p>
      <w:r>
        <w:t>Rows foreground dermatitis, wound-healing, recall, and soft-tissue breakdown rather than mixed-site class outputs.</w:t>
      </w:r>
    </w:p>
    <w:p>
      <w:r>
        <w:t>Rows: 608. Direct/partial-direct rows remaining: 114.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superficial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skin and soft-tissue toxicity with concomitant superficial RT; immune dermatitis or recall-type inflammation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Skin/soft tissue; Wound-healing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Bone</w:t>
      </w:r>
    </w:p>
    <w:p>
      <w:r>
        <w:t>Rows foreground marrow, fracture, and soft-tissue risk, with osteonecrosis/healing flags for bone-modifying agents.</w:t>
      </w:r>
    </w:p>
    <w:p>
      <w:r>
        <w:t>Rows: 617. Direct/partial-direct rows remaining: 90. Direct rows with empty citations: 0. No-applicable-evidence rows: 62.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bone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marrow, fracture, and soft-tissue toxicity with concomitant bone RT; inflammatory pain flare or soft-tissue inflammation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Marrow/haematologic; Bone/fracture; Soft tissue/skin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Mediastinum</w:t>
      </w:r>
    </w:p>
    <w:p>
      <w:r>
        <w:t>Legacy thoracic rows now read as pulmonary, oesophageal, cardiac, marrow, and endocrine mediastinal risk rather than generic site-generic toxicity.</w:t>
      </w:r>
    </w:p>
    <w:p>
      <w:r>
        <w:t>Rows: 643. Direct/partial-direct rows remaining: 92. Direct rows with empty citations: 0. No-applicable-evidence rows: 74. Drug-level generic rows: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mediastinal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pulmonary, oesophageal, cardiac, marrow, and endocrine toxicity with concomitant mediastinal RT; immune pneumonitis, oesophagitis, or myocarditis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Pulmonary; Oesophageal; Cardiac; Marrow/haematologic; Endocrine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Tbi</w:t>
      </w:r>
    </w:p>
    <w:p>
      <w:r>
        <w:t>Legacy total-body-irradiation rows now read as multi-organ marrow/pulmonary/hepatic/renal/ocular/gonadal risk rather than generic no-data outputs for checked agents.</w:t>
      </w:r>
    </w:p>
    <w:p>
      <w:r>
        <w:t>Rows: 664. Direct/partial-direct rows remaining: 85. Direct rows with empty citations: 0. No-applicable-evidence rows: 261. Drug-level generic rows: 183.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TBI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multi-organ toxicity with concomitant total-body irradiation; immune pneumonitis, hepatitis, nephritis, or enteritis may overlap with TBI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Global marrow/haematologic; Pulmonary; Hepatic; Renal; Ocular; Gonadal/fertility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r>
        <w:br w:type="page"/>
      </w:r>
    </w:p>
    <w:p>
      <w:pPr>
        <w:pStyle w:val="Heading1"/>
      </w:pPr>
      <w:r>
        <w:t>Remaining Legacy Material</w:t>
      </w:r>
    </w:p>
    <w:p>
      <w:r>
        <w:t>The main remaining residual material is now the legacy `nonspecific` site bucket. It is timing-oriented fallback logic rather than an active clinician-facing site block.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8"/>
              </w:rPr>
              <w:t>Site key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 with empty citations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No applicable evidence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Drug-level generic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nonspecific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</w:tbl>
    <w:p>
      <w:pPr>
        <w:pStyle w:val="Heading2"/>
      </w:pPr>
      <w:r>
        <w:t>Key Residual Note</w:t>
      </w:r>
    </w:p>
    <w:p>
      <w:r>
        <w:t>The `nonspecific` block still contains agent/timing heuristics such as recall, washout, and class-level stereotactic escalation. It does not drive the simplified site-based front end in the same way as the grouped site blocks.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Decide whether legacy `nonspecific` rows should be retained as hidden fallback logic or retired from the deployed static feed.</w:t>
      </w:r>
    </w:p>
    <w:p>
      <w:pPr>
        <w:pStyle w:val="ListNumber"/>
      </w:pPr>
      <w:r>
        <w:t>If the prototype is now clinically acceptable, freeze a reviewed database snapshot and regenerate the static feed from that reviewed state rather than continuing ad hoc row edits.</w:t>
      </w:r>
    </w:p>
    <w:p>
      <w:pPr>
        <w:pStyle w:val="ListNumber"/>
      </w:pPr>
      <w:r>
        <w:t>Regenerate any downstream documentation or clinician-facing validation sheets from the repaired feed so review artefacts match the deployed prototype.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