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4"/>
        </w:rPr>
        <w:t>RT Interact Prototype</w:t>
        <w:br/>
        <w:t>Evidence-Traceability Audit</w:t>
      </w:r>
    </w:p>
    <w:p>
      <w:pPr>
        <w:jc w:val="center"/>
      </w:pPr>
      <w:r>
        <w:rPr>
          <w:i/>
        </w:rPr>
        <w:t>Audit date: 13 July 2026 | Scope: deployed data pathway and evidence fidelity</w:t>
      </w:r>
    </w:p>
    <w:p/>
    <w:p>
      <w:pPr>
        <w:pStyle w:val="Heading1"/>
      </w:pPr>
      <w:r>
        <w:t>Purpose</w:t>
      </w:r>
    </w:p>
    <w:p>
      <w:r>
        <w:t>This audit tests whether the current RT Interact prototype faithfully deploys the existing reviewed evidence database. It does not re-run the systematic review and does not replace the amended evidence workbook. Findings are separated into (1) confirmed data-path defects, (2) evidence-to-output discrepancies requiring clinical adjudication, and (3) inherited scenario priorities from the previous database audit.</w:t>
      </w:r>
    </w:p>
    <w:p>
      <w:pPr>
        <w:pStyle w:val="Heading2"/>
      </w:pPr>
      <w:r>
        <w:t>Materials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8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Role in audit</w:t>
            </w:r>
          </w:p>
        </w:tc>
        <w:tc>
          <w:tcPr>
            <w:tcW w:type="dxa" w:w="37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Observed status</w:t>
            </w:r>
          </w:p>
        </w:tc>
      </w:tr>
      <w:tr>
        <w:tc>
          <w:tcPr>
            <w:tcW w:type="dxa" w:w="2448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Database Feed AMENDED.xlsx</w:t>
            </w:r>
          </w:p>
        </w:tc>
        <w:tc>
          <w:tcPr>
            <w:tcW w:type="dxa" w:w="4896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Reviewed source workbook and evidence baseline</w:t>
            </w:r>
          </w:p>
        </w:tc>
        <w:tc>
          <w:tcPr>
            <w:tcW w:type="dxa" w:w="3744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Present; 222 master records, 16 evidence-map records, 16 interaction rules, 69 evidence-library records, 30 site/subsite records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Database Audit Report.docx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Previous scenario-level audit and correction history</w:t>
            </w:r>
          </w:p>
        </w:tc>
        <w:tc>
          <w:tcPr>
            <w:tcW w:type="dxa" w:w="37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Used as the prior audit baseline; its high-risk scenarios require deployment reconciliation</w:t>
            </w:r>
          </w:p>
        </w:tc>
      </w:tr>
      <w:tr>
        <w:tc>
          <w:tcPr>
            <w:tcW w:type="dxa" w:w="2448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app-output-resolved.json</w:t>
            </w:r>
          </w:p>
        </w:tc>
        <w:tc>
          <w:tcPr>
            <w:tcW w:type="dxa" w:w="4896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Flat table loaded by the prototype</w:t>
            </w:r>
          </w:p>
        </w:tc>
        <w:tc>
          <w:tcPr>
            <w:tcW w:type="dxa" w:w="3744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Present; 7,569 deployed output records for 264 agents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flatLookup.ts and loaders.ts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Current resolution and import path</w:t>
            </w:r>
          </w:p>
        </w:tc>
        <w:tc>
          <w:tcPr>
            <w:tcW w:type="dxa" w:w="37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Prototype imports the flat JSON at build time and maps UI sites into broad buckets</w:t>
            </w:r>
          </w:p>
        </w:tc>
      </w:tr>
      <w:tr>
        <w:tc>
          <w:tcPr>
            <w:tcW w:type="dxa" w:w="2448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database_metadata.json</w:t>
            </w:r>
          </w:p>
        </w:tc>
        <w:tc>
          <w:tcPr>
            <w:tcW w:type="dxa" w:w="4896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Declared data provenance</w:t>
            </w:r>
          </w:p>
        </w:tc>
        <w:tc>
          <w:tcPr>
            <w:tcW w:type="dxa" w:w="3744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Declares High_Risk_Master_217_FIXED as primary source, but no reproducible workbook-to-output generator was located</w:t>
            </w:r>
          </w:p>
        </w:tc>
      </w:tr>
    </w:tbl>
    <w:p/>
    <w:p>
      <w:pPr>
        <w:pStyle w:val="Heading1"/>
      </w:pPr>
      <w:r>
        <w:t>Executive Finding</w:t>
      </w:r>
    </w:p>
    <w:p>
      <w:r>
        <w:rPr>
          <w:b/>
        </w:rPr>
        <w:t xml:space="preserve">Release status: clinical data reconciliation required before relying on the prototype as an evidence-faithful interaction checker. </w:t>
      </w:r>
      <w:r>
        <w:t>The reviewed evidence assets exist. The current failure is the transformation and lookup path: it flattens source claims, loses subsite/OAR provenance, merges toxicity layers, and can present class-level evidence as direct agent-scenario evidence.</w:t>
      </w:r>
    </w:p>
    <w:p>
      <w:pPr>
        <w:pStyle w:val="Heading1"/>
      </w:pPr>
      <w:r>
        <w:t>Confirmed Deployment Defects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Confirmed defect</w:t>
            </w:r>
          </w:p>
        </w:tc>
        <w:tc>
          <w:tcPr>
            <w:tcW w:type="dxa" w:w="42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Evidence from audit</w:t>
            </w:r>
          </w:p>
        </w:tc>
        <w:tc>
          <w:tcPr>
            <w:tcW w:type="dxa" w:w="367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Clinical consequence</w:t>
            </w:r>
          </w:p>
        </w:tc>
      </w:tr>
      <w:tr>
        <w:tc>
          <w:tcPr>
            <w:tcW w:type="dxa" w:w="79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23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No reproducible source-to-output export trace</w:t>
            </w:r>
          </w:p>
        </w:tc>
        <w:tc>
          <w:tcPr>
            <w:tcW w:type="dxa" w:w="4248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Metadata declares the amended master workbook as the source; the application directly imports app-output-resolved.json; no generator linking the two was located.</w:t>
            </w:r>
          </w:p>
        </w:tc>
        <w:tc>
          <w:tcPr>
            <w:tcW w:type="dxa" w:w="367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No reliable proof that a reviewed workbook correction reached the deployed result.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Subsite/OAR collapse in lookup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Peripheral, central, ultracentral and apical lung UI selections all map to the single key "lung" before lookup.</w:t>
            </w:r>
          </w:p>
        </w:tc>
        <w:tc>
          <w:tcPr>
            <w:tcW w:type="dxa" w:w="36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 result cannot retain centrality-specific or OAR-specific evidence distinctions.</w:t>
            </w:r>
          </w:p>
        </w:tc>
      </w:tr>
      <w:tr>
        <w:tc>
          <w:tcPr>
            <w:tcW w:type="dxa" w:w="79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23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Evidence directness inflation</w:t>
            </w:r>
          </w:p>
        </w:tc>
        <w:tc>
          <w:tcPr>
            <w:tcW w:type="dxa" w:w="4248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327 records are labelled "Direct RT-combination" while their displayed source wording is class-level evidence/consensus.</w:t>
            </w:r>
          </w:p>
        </w:tc>
        <w:tc>
          <w:tcPr>
            <w:tcW w:type="dxa" w:w="367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The user can be led to believe direct agent-scenario evidence exists when it does not.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Cross-agent text in toxicity outputs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96 output records contain another selectable agent name in toxicity text. The largest confirmed groups are abemaciclib -&gt; ribociclib (36 rows) and palbociclib -&gt; ribociclib (36 rows).</w:t>
            </w:r>
          </w:p>
        </w:tc>
        <w:tc>
          <w:tcPr>
            <w:tcW w:type="dxa" w:w="36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Another drug's observation can be displayed as part of the selected drug's toxicity profile.</w:t>
            </w:r>
          </w:p>
        </w:tc>
      </w:tr>
      <w:tr>
        <w:tc>
          <w:tcPr>
            <w:tcW w:type="dxa" w:w="79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23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Toxicity-layer merging</w:t>
            </w:r>
          </w:p>
        </w:tc>
        <w:tc>
          <w:tcPr>
            <w:tcW w:type="dxa" w:w="4248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Resolved rows combine agent toxicities, general RT/OAR toxicities and interaction endpoints into one semicolon-separated list.</w:t>
            </w:r>
          </w:p>
        </w:tc>
        <w:tc>
          <w:tcPr>
            <w:tcW w:type="dxa" w:w="367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Generic OAR labels can look like evidence-supported interaction toxicities.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Untraceable escalation</w:t>
            </w:r>
          </w:p>
        </w:tc>
        <w:tc>
          <w:tcPr>
            <w:tcW w:type="dxa" w:w="42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The flat table can change alert category through generic fractionation/site expansion without exposing a mapping ID or rule ID.</w:t>
            </w:r>
          </w:p>
        </w:tc>
        <w:tc>
          <w:tcPr>
            <w:tcW w:type="dxa" w:w="36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 high or avoid result cannot be clinically audited from the screen back to the evidence decision.</w:t>
            </w:r>
          </w:p>
        </w:tc>
      </w:tr>
    </w:tbl>
    <w:p/>
    <w:p>
      <w:pPr>
        <w:pStyle w:val="Heading1"/>
      </w:pPr>
      <w:r>
        <w:t>All-Output Automated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6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3096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Deployed output inventory</w:t>
            </w:r>
          </w:p>
        </w:tc>
        <w:tc>
          <w:tcPr>
            <w:tcW w:type="dxa" w:w="360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7,569 records; 264 agents; 13 broad site keys; 4 flat fractionation keys</w:t>
            </w:r>
          </w:p>
        </w:tc>
        <w:tc>
          <w:tcPr>
            <w:tcW w:type="dxa" w:w="432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The deployed surface is substantially more compressed than the reviewed source model.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Evidence directness distribution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Drug-level (site-generic): 2,214; No applicable evidence: 2,043; Indirect / mechanistic: 1,486; Direct RT-combination: 893; Partially direct RT-combination: 576; Class-level: 354; Observational / other: 3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Directness is stored as a flat label and must be reconciled against source evidence-map scope.</w:t>
            </w:r>
          </w:p>
        </w:tc>
      </w:tr>
      <w:tr>
        <w:tc>
          <w:tcPr>
            <w:tcW w:type="dxa" w:w="3096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Cross-agent lexical scan</w:t>
            </w:r>
          </w:p>
        </w:tc>
        <w:tc>
          <w:tcPr>
            <w:tcW w:type="dxa" w:w="360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96 flagged records across 21 agent-to-agent pairs</w:t>
            </w:r>
          </w:p>
        </w:tc>
        <w:tc>
          <w:tcPr>
            <w:tcW w:type="dxa" w:w="432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Flagged records require clinical triage; some mention another agent only as context, but none should become an unqualified displayed toxicity.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UI-to-source site mapping scan</w:t>
            </w:r>
          </w:p>
        </w:tc>
        <w:tc>
          <w:tcPr>
            <w:tcW w:type="dxa" w:w="36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30 reviewed site/subsite records are reduced to 13 lookup buckets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 source rule may be site/OAR-specific but the output lookup cannot retain its conditions.</w:t>
            </w:r>
          </w:p>
        </w:tc>
      </w:tr>
      <w:tr>
        <w:tc>
          <w:tcPr>
            <w:tcW w:type="dxa" w:w="3096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Output provenance scan</w:t>
            </w:r>
          </w:p>
        </w:tc>
        <w:tc>
          <w:tcPr>
            <w:tcW w:type="dxa" w:w="360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No output fields for Mapping ID, Rule ID, source scope, inherited class, or exact endpoint</w:t>
            </w:r>
          </w:p>
        </w:tc>
        <w:tc>
          <w:tcPr>
            <w:tcW w:type="dxa" w:w="432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No record-by-record evidence audit is possible in the deployed data format.</w:t>
            </w:r>
          </w:p>
        </w:tc>
      </w:tr>
    </w:tbl>
    <w:p/>
    <w:p>
      <w:pPr>
        <w:pStyle w:val="Heading1"/>
      </w:pPr>
      <w:r>
        <w:t>Worked Trace: Abemaciclib plus Lung SABR</w:t>
      </w:r>
    </w:p>
    <w:p>
      <w:r>
        <w:t>This trace is included as a diagnostic example, not a clinical reclassification. The amended workbook records abemaciclib as a CDK4/6 inhibitor with direct class-level evidence from EVID-0015 and EVID-0016, supported by EVID-0001. The evidence map records mixed site evidence across pelvis/bowel, breast and thorax, with low evidence level and moderate uncertainty. The deployed output converts the lung stereotactic scenario to "High-risk interaction", labels it "Direct RT-combination", and displays a merged toxicity list that includes "radiation recall (ribociclib)".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8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Reviewed source / current output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Audit issue</w:t>
            </w:r>
          </w:p>
        </w:tc>
      </w:tr>
      <w:tr>
        <w:tc>
          <w:tcPr>
            <w:tcW w:type="dxa" w:w="180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Evidence map</w:t>
            </w:r>
          </w:p>
        </w:tc>
        <w:tc>
          <w:tcPr>
            <w:tcW w:type="dxa" w:w="4896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Class-level direct CDK4/6 evidence; thorax included; proposed moderate concern; low certainty and moderate uncertainty</w:t>
            </w:r>
          </w:p>
        </w:tc>
        <w:tc>
          <w:tcPr>
            <w:tcW w:type="dxa" w:w="432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Class evidence requires visible scope, not an unqualified agent-specific direct-evidence label.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Master record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Moderate concern baseline; thorax/SABR warning; marrow, bowel, lung and skin listed as highest-concern areas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This is a baseline summary, not by itself a lung-SABR endpoint claim.</w:t>
            </w:r>
          </w:p>
        </w:tc>
      </w:tr>
      <w:tr>
        <w:tc>
          <w:tcPr>
            <w:tcW w:type="dxa" w:w="180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Deployed output</w:t>
            </w:r>
          </w:p>
        </w:tc>
        <w:tc>
          <w:tcPr>
            <w:tcW w:type="dxa" w:w="4896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High-risk lung stereotactic row; merged cardiac, oesophageal, pulmonary, marrow and other labels; ribociclib recall phrase</w:t>
            </w:r>
          </w:p>
        </w:tc>
        <w:tc>
          <w:tcPr>
            <w:tcW w:type="dxa" w:w="4320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Escalation source and each toxicity claim are not separately traceable.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Prototype display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Uses the broad lung lookup bucket for peripheral, central and ultracentral selections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The display cannot show why a particular OAR concern applies to the selected subsite.</w:t>
            </w:r>
          </w:p>
        </w:tc>
      </w:tr>
    </w:tbl>
    <w:p/>
    <w:p>
      <w:pPr>
        <w:pStyle w:val="Heading1"/>
      </w:pPr>
      <w:r>
        <w:t>Prior Audit Reconciliation Queue</w:t>
      </w:r>
    </w:p>
    <w:p>
      <w:r>
        <w:t>The previous audit already identified scenario-level corrections. The following are not new clinical conclusions; they are the first output groups that must be traced from the amended workbook into the current prototype and checked against their cited evidence before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 group from previous audit</w:t>
            </w:r>
          </w:p>
        </w:tc>
        <w:tc>
          <w:tcPr>
            <w:tcW w:type="dxa" w:w="76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Scenario-level reconciliation focus</w:t>
            </w:r>
          </w:p>
        </w:tc>
      </w:tr>
      <w:tr>
        <w:tc>
          <w:tcPr>
            <w:tcW w:type="dxa" w:w="3384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Thoracic pulmonary-risk agents</w:t>
            </w:r>
          </w:p>
        </w:tc>
        <w:tc>
          <w:tcPr>
            <w:tcW w:type="dxa" w:w="763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Osimertinib lung RT; mTOR inhibitors with lung RT and extracranial SABR; T-DXd central/ultracentral lung SBRT; ALK/EGFR evidence boundaries.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SABR / CNS high-risk agents</w:t>
            </w:r>
          </w:p>
        </w:tc>
        <w:tc>
          <w:tcPr>
            <w:tcW w:type="dxa" w:w="76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T-DM1 with brain SRS and lung/spine SABR; fludarabine, nelarabine, methotrexate, cytarabine and cladribine CNS/spine/SABR scenarios.</w:t>
            </w:r>
          </w:p>
        </w:tc>
      </w:tr>
      <w:tr>
        <w:tc>
          <w:tcPr>
            <w:tcW w:type="dxa" w:w="3384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GI, mucosal and vascular overlap</w:t>
            </w:r>
          </w:p>
        </w:tc>
        <w:tc>
          <w:tcPr>
            <w:tcW w:type="dxa" w:w="763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Anti-VEGF/VEGFR therapy near bowel, oesophagus, major vessels or wound beds; anti-CTLA-4 pelvic/abdominal scenarios; PARP mucosal/pulmonary scenarios.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Cytotoxic therapy context</w:t>
            </w:r>
          </w:p>
        </w:tc>
        <w:tc>
          <w:tcPr>
            <w:tcW w:type="dxa" w:w="76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Vinca alkaloids, alkylating agents, topoisomerase inhibitors and protocol-standard chemoradiation must preserve regimen, site and fractionation context.</w:t>
            </w:r>
          </w:p>
        </w:tc>
      </w:tr>
      <w:tr>
        <w:tc>
          <w:tcPr>
            <w:tcW w:type="dxa" w:w="3384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CDK4/6 class</w:t>
            </w:r>
          </w:p>
        </w:tc>
        <w:tc>
          <w:tcPr>
            <w:tcW w:type="dxa" w:w="7632"/>
            <w:vAlign w:val="top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Abemaciclib, palbociclib and ribociclib: remove cross-agent phrases; preserve class evidence boundaries; trace any thoracic/SABR escalation to an explicit rule or mapped endpoint.</w:t>
            </w:r>
          </w:p>
        </w:tc>
      </w:tr>
    </w:tbl>
    <w:p/>
    <w:p>
      <w:pPr>
        <w:pStyle w:val="Heading1"/>
      </w:pPr>
      <w:r>
        <w:t>Required Reconciliation Method</w:t>
      </w:r>
    </w:p>
    <w:p>
      <w:pPr>
        <w:pStyle w:val="ListNumber"/>
      </w:pPr>
      <w:r>
        <w:t>Locate or recreate, from the existing workbook, a deterministic export that produces the deployed output table. The export must be versioned and reproducible.</w:t>
      </w:r>
    </w:p>
    <w:p>
      <w:pPr>
        <w:pStyle w:val="ListNumber"/>
      </w:pPr>
      <w:r>
        <w:t>For every output record, carry source identifiers: Evidence ID, Mapping ID, Rule ID, evidence directness, source agent/regimen, site/OAR scope, fractionation scope and acute endpoint.</w:t>
      </w:r>
    </w:p>
    <w:p>
      <w:pPr>
        <w:pStyle w:val="ListNumber"/>
      </w:pPr>
      <w:r>
        <w:t>Retain the selected UI subsite through lookup. Broad site grouping may be used only where the source evidence explicitly applies to the broad group.</w:t>
      </w:r>
    </w:p>
    <w:p>
      <w:pPr>
        <w:pStyle w:val="ListNumber"/>
      </w:pPr>
      <w:r>
        <w:t>Keep three output layers separate: systemic-agent toxicity, irradiated OAR toxicity and evidence-supported interaction endpoint. Only the third layer may be presented as an interaction claim.</w:t>
      </w:r>
    </w:p>
    <w:p>
      <w:pPr>
        <w:pStyle w:val="ListNumber"/>
      </w:pPr>
      <w:r>
        <w:t>Permit an alert escalation only when a reviewed Interaction_Rule matches. The output must state that it is a rule/safeguard rather than direct evidence.</w:t>
      </w:r>
    </w:p>
    <w:p>
      <w:pPr>
        <w:pStyle w:val="ListNumber"/>
      </w:pPr>
      <w:r>
        <w:t>Run automated validation over every selectable output and create a clinician review queue only for unique source decisions, mismatches and safety-critical scenarios. This avoids manually reviewing thousands of duplicated rows while still testing every output.</w:t>
      </w:r>
    </w:p>
    <w:p>
      <w:pPr>
        <w:pStyle w:val="Heading1"/>
      </w:pPr>
      <w:r>
        <w:t>Acceptance Criteria Before Clinical Release</w:t>
      </w:r>
    </w:p>
    <w:p>
      <w:pPr>
        <w:pStyle w:val="ListBullet"/>
      </w:pPr>
      <w:r>
        <w:t>Every displayed alert has a traceable source decision and scope.</w:t>
      </w:r>
    </w:p>
    <w:p>
      <w:pPr>
        <w:pStyle w:val="ListBullet"/>
      </w:pPr>
      <w:r>
        <w:t>No selected agent result displays another agent's toxicity statement unless explicitly labelled as a class/regimen comparator and not shown as the selected-agent endpoint.</w:t>
      </w:r>
    </w:p>
    <w:p>
      <w:pPr>
        <w:pStyle w:val="ListBullet"/>
      </w:pPr>
      <w:r>
        <w:t>No class-level, indirect or safety-rule evidence is labelled direct agent-scenario evidence.</w:t>
      </w:r>
    </w:p>
    <w:p>
      <w:pPr>
        <w:pStyle w:val="ListBullet"/>
      </w:pPr>
      <w:r>
        <w:t>Centrality/OAR-dependent thoracic and SABR outputs preserve their source conditions.</w:t>
      </w:r>
    </w:p>
    <w:p>
      <w:pPr>
        <w:pStyle w:val="ListBullet"/>
      </w:pPr>
      <w:r>
        <w:t>Every high-risk or avoid scenario from the prior audit is tested in the prototype against the amended workbook and linked evidence.</w:t>
      </w:r>
    </w:p>
    <w:p>
      <w:pPr>
        <w:pStyle w:val="ListBullet"/>
      </w:pPr>
      <w:r>
        <w:t>No site recommendation, hold instruction or management recommendation is rendered in the prototype.</w:t>
      </w:r>
    </w:p>
    <w:p>
      <w:pPr>
        <w:pStyle w:val="Heading1"/>
      </w:pPr>
      <w:r>
        <w:t>Audit Limitations</w:t>
      </w:r>
    </w:p>
    <w:p>
      <w:r>
        <w:t>This document validates data lineage, output structure and evidence traceability. It does not independently re-adjudicate the underlying systematic-review conclusions. The absence of a reproducible export process prevents confirmation that all amended-workbook corrections reached the flat output table. That gap is itself a key audit finding.</w:t>
      </w:r>
    </w:p>
    <w:p>
      <w:pPr>
        <w:pStyle w:val="Heading1"/>
      </w:pPr>
      <w:r>
        <w:t>Source Register</w:t>
      </w:r>
    </w:p>
    <w:p>
      <w:pPr>
        <w:pStyle w:val="ListBullet"/>
      </w:pPr>
      <w:r>
        <w:t>Database Feed AMENDED.xlsx: High_Risk_Master_217_FIXED, Interaction_Evidence_Map, Interaction_Rules, Evidence_Library and RT_Site_Subsite_OARs sheets.</w:t>
      </w:r>
    </w:p>
    <w:p>
      <w:pPr>
        <w:pStyle w:val="ListBullet"/>
      </w:pPr>
      <w:r>
        <w:t>Database Audit Report.docx: previous clinical database audit and scenario-level correction history.</w:t>
      </w:r>
    </w:p>
    <w:p>
      <w:pPr>
        <w:pStyle w:val="ListBullet"/>
      </w:pPr>
      <w:r>
        <w:t>Prototype source: src/data/raw/app-output-resolved.json, src/data/loaders.ts, src/engine/flatLookup.ts and src/data/raw/database_metadata.json.</w:t>
      </w:r>
    </w:p>
    <w:p>
      <w:pPr>
        <w:pStyle w:val="ListBullet"/>
      </w:pPr>
      <w:r>
        <w:t>Evidence records referenced by the existing database include the ESMO-ESTRO consensus (EVID-0001), class systematic reviews/meta-analyses and agent-specific studies already catalogued in the workbook.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RT Interact evidence-traceability audit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D7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