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4"/>
        </w:rPr>
        <w:t>RT Interact Phase 1</w:t>
      </w:r>
    </w:p>
    <w:p>
      <w:pPr>
        <w:jc w:val="center"/>
      </w:pPr>
      <w:r>
        <w:rPr>
          <w:b/>
          <w:color w:val="2E75B6"/>
          <w:sz w:val="36"/>
        </w:rPr>
        <w:t>Expert Clinical Validation</w:t>
      </w:r>
    </w:p>
    <w:p/>
    <w:p>
      <w:pPr>
        <w:jc w:val="center"/>
      </w:pPr>
      <w:r>
        <w:rPr>
          <w:color w:val="404040"/>
          <w:sz w:val="24"/>
        </w:rPr>
        <w:t>Reviewer Pack — Phase 1</w:t>
      </w:r>
    </w:p>
    <w:p>
      <w:pPr>
        <w:jc w:val="center"/>
      </w:pPr>
      <w:r>
        <w:rPr>
          <w:i/>
          <w:color w:val="606060"/>
          <w:sz w:val="18"/>
        </w:rPr>
        <w:t>June 2026  ·  42 Synthetic Validation Scenarios  ·  CONFIDENTIAL — Not for external distribution</w:t>
      </w:r>
    </w:p>
    <w:p/>
    <w:p>
      <w:pPr>
        <w:pBdr>
          <w:bottom w:val="single" w:sz="12" w:space="1" w:color="2E75B6"/>
        </w:pBdr>
      </w:pPr>
    </w:p>
    <w:p/>
    <w:p>
      <w:pPr>
        <w:pStyle w:val="Heading1"/>
      </w:pPr>
      <w:r>
        <w:t>1. Purpose of This Review</w:t>
      </w:r>
    </w:p>
    <w:p>
      <w:r>
        <w:t>RT Interact is a decision-support prototype that generates alerts for potential interactions between radiotherapy (RT) and systemic anticancer agents. This expert review is the first formal content-validity assessment of the prototype.</w:t>
      </w:r>
    </w:p>
    <w:p>
      <w:r>
        <w:t>You are asked to assess, for each of 42 synthetic clinical scenarios, whether the app's current output — including alert level, toxicity domains, risk driver, rationale, and uncertainty signalling — is clinically appropriate. Your responses will be used to identify rule gaps, calibration errors, and false-reassurance risks before any further development.</w:t>
      </w:r>
    </w:p>
    <w:p>
      <w:r>
        <w:t>Reviews are independent and blinded. Please complete your assessment without reference to other reviewers' opinions. A minimum of three Radiation Oncology specialist reviewers is required per scenario before adjudication.</w:t>
      </w:r>
    </w:p>
    <w:p>
      <w:pPr>
        <w:pStyle w:val="Heading1"/>
      </w:pPr>
      <w:r>
        <w:t>2. Prototype Status and Disclaimer</w:t>
      </w:r>
    </w:p>
    <w:tbl>
      <w:tblPr>
        <w:tblStyle w:val="TableGrid"/>
        <w:tblW w:type="auto" w:w="0"/>
        <w:tblLook w:firstColumn="1" w:firstRow="1" w:lastColumn="0" w:lastRow="0" w:noHBand="0" w:noVBand="1" w:val="04A0"/>
      </w:tblPr>
      <w:tblGrid>
        <w:gridCol w:w="9072"/>
      </w:tblGrid>
      <w:tr>
        <w:tc>
          <w:tcPr>
            <w:tcW w:type="dxa" w:w="9072"/>
            <w:shd w:val="clear" w:color="auto" w:fill="FFF2CC"/>
          </w:tcPr>
          <w:p>
            <w:r>
              <w:rPr>
                <w:b/>
                <w:sz w:val="20"/>
              </w:rPr>
              <w:t>IMPORTANT: RT Interact is a research and quality-improvement prototype. It is not approved or cleared for clinical reliance in any jurisdiction. It must not be used to guide patient care. All scenarios in this pack are entirely synthetic — no patient data is included.</w:t>
            </w:r>
          </w:p>
        </w:tc>
      </w:tr>
    </w:tbl>
    <w:p/>
    <w:p>
      <w:r>
        <w:t>Specific limitations relevant to this review include:</w:t>
      </w:r>
    </w:p>
    <w:p>
      <w:pPr>
        <w:pStyle w:val="ListBullet"/>
        <w:spacing w:after="40"/>
      </w:pPr>
      <w:r>
        <w:rPr>
          <w:sz w:val="20"/>
        </w:rPr>
        <w:t>Content has not been verified against eviQ cancer treatment protocols or the ARTG/PBS.</w:t>
      </w:r>
    </w:p>
    <w:p>
      <w:pPr>
        <w:pStyle w:val="ListBullet"/>
        <w:spacing w:after="40"/>
      </w:pPr>
      <w:r>
        <w:rPr>
          <w:sz w:val="20"/>
        </w:rPr>
        <w:t>Alert levels, toxicity domains, and rationale text have not undergone prior expert consensus validation.</w:t>
      </w:r>
    </w:p>
    <w:p>
      <w:pPr>
        <w:pStyle w:val="ListBullet"/>
        <w:spacing w:after="40"/>
      </w:pPr>
      <w:r>
        <w:rPr>
          <w:sz w:val="20"/>
        </w:rPr>
        <w:t>The tool does not account for patient-specific factors (renal/hepatic function, performance status, comorbidities).</w:t>
      </w:r>
    </w:p>
    <w:p>
      <w:pPr>
        <w:pStyle w:val="ListBullet"/>
        <w:spacing w:after="40"/>
      </w:pPr>
      <w:r>
        <w:rPr>
          <w:sz w:val="20"/>
        </w:rPr>
        <w:t>No management recommendations are provided.</w:t>
      </w:r>
    </w:p>
    <w:p>
      <w:pPr>
        <w:pStyle w:val="ListBullet"/>
        <w:spacing w:after="40"/>
      </w:pPr>
      <w:r>
        <w:rPr>
          <w:sz w:val="20"/>
        </w:rPr>
        <w:t>Combination-specific synergistic toxicity from multiple simultaneous agents is not modelled in Phase 1.</w:t>
      </w:r>
    </w:p>
    <w:p>
      <w:pPr>
        <w:pStyle w:val="ListBullet"/>
        <w:spacing w:after="40"/>
      </w:pPr>
      <w:r>
        <w:rPr>
          <w:sz w:val="20"/>
        </w:rPr>
        <w:t>Rules are based on categorical inputs only — continuous dose variables (Gy) are not modelled.</w:t>
      </w:r>
    </w:p>
    <w:p>
      <w:r>
        <w:t>A full list of known limitations is provided in Section 7 of this document.</w:t>
      </w:r>
    </w:p>
    <w:p>
      <w:pPr>
        <w:pStyle w:val="Heading1"/>
      </w:pPr>
      <w:r>
        <w:t>3. App Access Instructions</w:t>
      </w:r>
    </w:p>
    <w:p>
      <w:r>
        <w:t>The RT Interact prototype is accessible via a private web link provided with this pack. No installation or login is required — the app runs entirely in your web browser.</w:t>
      </w:r>
    </w:p>
    <w:p>
      <w:pPr>
        <w:spacing w:after="40"/>
      </w:pPr>
      <w:r>
        <w:rPr>
          <w:b/>
          <w:color w:val="1F4E79"/>
          <w:sz w:val="20"/>
        </w:rPr>
        <w:t xml:space="preserve">Step 1:  </w:t>
      </w:r>
      <w:r>
        <w:rPr>
          <w:sz w:val="20"/>
        </w:rPr>
        <w:t>Open the private app link provided in your invitation.</w:t>
      </w:r>
    </w:p>
    <w:p>
      <w:pPr>
        <w:spacing w:after="40"/>
      </w:pPr>
      <w:r>
        <w:rPr>
          <w:b/>
          <w:color w:val="1F4E79"/>
          <w:sz w:val="20"/>
        </w:rPr>
        <w:t xml:space="preserve">Step 2:  </w:t>
      </w:r>
      <w:r>
        <w:rPr>
          <w:sz w:val="20"/>
        </w:rPr>
        <w:t>In the app, select the systemic agent from the dropdown list.</w:t>
      </w:r>
    </w:p>
    <w:p>
      <w:pPr>
        <w:spacing w:after="40"/>
      </w:pPr>
      <w:r>
        <w:rPr>
          <w:b/>
          <w:color w:val="1F4E79"/>
          <w:sz w:val="20"/>
        </w:rPr>
        <w:t xml:space="preserve">Step 3:  </w:t>
      </w:r>
      <w:r>
        <w:rPr>
          <w:sz w:val="20"/>
        </w:rPr>
        <w:t>Select the RT site and subsite.</w:t>
      </w:r>
    </w:p>
    <w:p>
      <w:pPr>
        <w:spacing w:after="40"/>
      </w:pPr>
      <w:r>
        <w:rPr>
          <w:b/>
          <w:color w:val="1F4E79"/>
          <w:sz w:val="20"/>
        </w:rPr>
        <w:t xml:space="preserve">Step 4:  </w:t>
      </w:r>
      <w:r>
        <w:rPr>
          <w:sz w:val="20"/>
        </w:rPr>
        <w:t>Select the timing of the systemic agent relative to RT.</w:t>
      </w:r>
    </w:p>
    <w:p>
      <w:pPr>
        <w:spacing w:after="40"/>
      </w:pPr>
      <w:r>
        <w:rPr>
          <w:b/>
          <w:color w:val="1F4E79"/>
          <w:sz w:val="20"/>
        </w:rPr>
        <w:t xml:space="preserve">Step 5:  </w:t>
      </w:r>
      <w:r>
        <w:rPr>
          <w:sz w:val="20"/>
        </w:rPr>
        <w:t>Select the fractionation category if applicable (some scenarios require this field).</w:t>
      </w:r>
    </w:p>
    <w:p>
      <w:pPr>
        <w:spacing w:after="40"/>
      </w:pPr>
      <w:r>
        <w:rPr>
          <w:b/>
          <w:color w:val="1F4E79"/>
          <w:sz w:val="20"/>
        </w:rPr>
        <w:t xml:space="preserve">Step 6:  </w:t>
      </w:r>
      <w:r>
        <w:rPr>
          <w:sz w:val="20"/>
        </w:rPr>
        <w:t>Review the app output: alert level, toxicity domains, risk driver, rationale text, and evidence references.</w:t>
      </w:r>
    </w:p>
    <w:p>
      <w:pPr>
        <w:spacing w:after="40"/>
      </w:pPr>
      <w:r>
        <w:rPr>
          <w:b/>
          <w:color w:val="1F4E79"/>
          <w:sz w:val="20"/>
        </w:rPr>
        <w:t xml:space="preserve">Step 7:  </w:t>
      </w:r>
      <w:r>
        <w:rPr>
          <w:sz w:val="20"/>
        </w:rPr>
        <w:t>Complete the online review form for this scenario (link provided in your invitation).</w:t>
      </w:r>
    </w:p>
    <w:p>
      <w:r>
        <w:t>The app runs in-browser only. No patient information should be entered at any time.</w:t>
      </w:r>
    </w:p>
    <w:p>
      <w:pPr>
        <w:pStyle w:val="Heading1"/>
      </w:pPr>
      <w:r>
        <w:t>4. Review Workflow</w:t>
      </w:r>
    </w:p>
    <w:p>
      <w:r>
        <w:t>For each scenario, you will:</w:t>
      </w:r>
    </w:p>
    <w:p>
      <w:pPr>
        <w:pStyle w:val="ListNumber"/>
        <w:spacing w:after="40"/>
      </w:pPr>
      <w:r>
        <w:rPr>
          <w:sz w:val="20"/>
        </w:rPr>
        <w:t>Read the scenario summary in this document (Section 6).</w:t>
      </w:r>
    </w:p>
    <w:p>
      <w:pPr>
        <w:pStyle w:val="ListNumber"/>
        <w:spacing w:after="40"/>
      </w:pPr>
      <w:r>
        <w:rPr>
          <w:sz w:val="20"/>
        </w:rPr>
        <w:t>Enter the listed inputs into the RT Interact app.</w:t>
      </w:r>
    </w:p>
    <w:p>
      <w:pPr>
        <w:pStyle w:val="ListNumber"/>
        <w:spacing w:after="40"/>
      </w:pPr>
      <w:r>
        <w:rPr>
          <w:sz w:val="20"/>
        </w:rPr>
        <w:t>Review all components of the app output.</w:t>
      </w:r>
    </w:p>
    <w:p>
      <w:pPr>
        <w:pStyle w:val="ListNumber"/>
        <w:spacing w:after="40"/>
      </w:pPr>
      <w:r>
        <w:rPr>
          <w:sz w:val="20"/>
        </w:rPr>
        <w:t>Complete the online review form for that scenario.</w:t>
      </w:r>
    </w:p>
    <w:p>
      <w:pPr>
        <w:pStyle w:val="ListNumber"/>
        <w:spacing w:after="40"/>
      </w:pPr>
      <w:r>
        <w:rPr>
          <w:sz w:val="20"/>
        </w:rPr>
        <w:t>Repeat for all assigned scenarios.</w:t>
      </w:r>
    </w:p>
    <w:p/>
    <w:p>
      <w:pPr>
        <w:pStyle w:val="Heading2"/>
      </w:pPr>
      <w:r>
        <w:t>What you are assessing</w:t>
      </w:r>
    </w:p>
    <w:p>
      <w:r>
        <w:t>For each scenario, the online form asks you to rate:</w:t>
      </w:r>
    </w:p>
    <w:p>
      <w:pPr>
        <w:spacing w:after="40"/>
      </w:pPr>
      <w:r>
        <w:rPr>
          <w:b/>
          <w:sz w:val="19"/>
        </w:rPr>
        <w:t xml:space="preserve">Alert appropriate:  </w:t>
      </w:r>
      <w:r>
        <w:rPr>
          <w:sz w:val="19"/>
        </w:rPr>
        <w:t>Is the app alert level clinically appropriate?</w:t>
      </w:r>
    </w:p>
    <w:p>
      <w:pPr>
        <w:spacing w:after="40"/>
      </w:pPr>
      <w:r>
        <w:rPr>
          <w:b/>
          <w:sz w:val="19"/>
        </w:rPr>
        <w:t xml:space="preserve">Preferred alert level:  </w:t>
      </w:r>
      <w:r>
        <w:rPr>
          <w:sz w:val="19"/>
        </w:rPr>
        <w:t>If not, what level is more appropriate?</w:t>
      </w:r>
    </w:p>
    <w:p>
      <w:pPr>
        <w:spacing w:after="40"/>
      </w:pPr>
      <w:r>
        <w:rPr>
          <w:b/>
          <w:sz w:val="19"/>
        </w:rPr>
        <w:t xml:space="preserve">Toxicity domains appropriate:  </w:t>
      </w:r>
      <w:r>
        <w:rPr>
          <w:sz w:val="19"/>
        </w:rPr>
        <w:t>Are the listed toxicity domains correct and complete?</w:t>
      </w:r>
    </w:p>
    <w:p>
      <w:pPr>
        <w:spacing w:after="40"/>
      </w:pPr>
      <w:r>
        <w:rPr>
          <w:b/>
          <w:sz w:val="19"/>
        </w:rPr>
        <w:t xml:space="preserve">Risk driver appropriate:  </w:t>
      </w:r>
      <w:r>
        <w:rPr>
          <w:sz w:val="19"/>
        </w:rPr>
        <w:t>Is the stated primary risk driver appropriate?</w:t>
      </w:r>
    </w:p>
    <w:p>
      <w:pPr>
        <w:spacing w:after="40"/>
      </w:pPr>
      <w:r>
        <w:rPr>
          <w:b/>
          <w:sz w:val="19"/>
        </w:rPr>
        <w:t xml:space="preserve">Rationale appropriate:  </w:t>
      </w:r>
      <w:r>
        <w:rPr>
          <w:sz w:val="19"/>
        </w:rPr>
        <w:t>Is the rationale narrative accurate and appropriately qualified?</w:t>
      </w:r>
    </w:p>
    <w:p>
      <w:pPr>
        <w:spacing w:after="40"/>
      </w:pPr>
      <w:r>
        <w:rPr>
          <w:b/>
          <w:sz w:val="19"/>
        </w:rPr>
        <w:t xml:space="preserve">Evidence appropriate:  </w:t>
      </w:r>
      <w:r>
        <w:rPr>
          <w:sz w:val="19"/>
        </w:rPr>
        <w:t>Is the evidence basis adequate for the alert level?</w:t>
      </w:r>
    </w:p>
    <w:p>
      <w:pPr>
        <w:spacing w:after="40"/>
      </w:pPr>
      <w:r>
        <w:rPr>
          <w:b/>
          <w:sz w:val="19"/>
        </w:rPr>
        <w:t xml:space="preserve">Uncertainty signalling appropriate:  </w:t>
      </w:r>
      <w:r>
        <w:rPr>
          <w:sz w:val="19"/>
        </w:rPr>
        <w:t>Is the degree of uncertainty appropriately communicated?</w:t>
      </w:r>
    </w:p>
    <w:p>
      <w:pPr>
        <w:spacing w:after="40"/>
      </w:pPr>
      <w:r>
        <w:rPr>
          <w:b/>
          <w:sz w:val="19"/>
        </w:rPr>
        <w:t xml:space="preserve">Potential false reassurance:  </w:t>
      </w:r>
      <w:r>
        <w:rPr>
          <w:sz w:val="19"/>
        </w:rPr>
        <w:t>Does the output risk creating false reassurance — i.e. under-alerting a real risk?</w:t>
      </w:r>
    </w:p>
    <w:p>
      <w:pPr>
        <w:spacing w:after="40"/>
      </w:pPr>
      <w:r>
        <w:rPr>
          <w:b/>
          <w:sz w:val="19"/>
        </w:rPr>
        <w:t xml:space="preserve">Reviewer confidence:  </w:t>
      </w:r>
      <w:r>
        <w:rPr>
          <w:sz w:val="19"/>
        </w:rPr>
        <w:t>How confident are you in your assessment of this scenario?</w:t>
      </w:r>
    </w:p>
    <w:p>
      <w:pPr>
        <w:spacing w:after="40"/>
      </w:pPr>
      <w:r>
        <w:rPr>
          <w:b/>
          <w:sz w:val="19"/>
        </w:rPr>
        <w:t xml:space="preserve">Suggested correction:  </w:t>
      </w:r>
      <w:r>
        <w:rPr>
          <w:sz w:val="19"/>
        </w:rPr>
        <w:t>Optional free-text correction or comment.</w:t>
      </w:r>
    </w:p>
    <w:p/>
    <w:p>
      <w:r>
        <w:t>You are assessing content validity only — not interface design, technical implementation, or Phase 2 features (dose constraints, management recommendations).</w:t>
      </w:r>
    </w:p>
    <w:p>
      <w:pPr>
        <w:pStyle w:val="Heading2"/>
      </w:pPr>
      <w:r>
        <w:t>Guidance on specific scenario types</w:t>
      </w:r>
    </w:p>
    <w:p>
      <w:pPr>
        <w:pStyle w:val="Heading3"/>
      </w:pPr>
      <w:r>
        <w:t>Missing-input scenarios (S032–S034)</w:t>
      </w:r>
    </w:p>
    <w:p>
      <w:r>
        <w:t>The app should return an incomplete or prompt state — not a clinical alert. Assess whether this handling is clearly communicated.</w:t>
      </w:r>
    </w:p>
    <w:p>
      <w:pPr>
        <w:pStyle w:val="Heading3"/>
      </w:pPr>
      <w:r>
        <w:t>Fallback scenarios</w:t>
      </w:r>
    </w:p>
    <w:p>
      <w:r>
        <w:t>These return 'Uncertain / evidence limited' because no matching rule was found. Assess: (a) Is Uncertain appropriate given the available evidence? (b) Are the listed toxicity domains clinically relevant? (c) Does Uncertain risk implying the combination is safer than it actually is?</w:t>
      </w:r>
    </w:p>
    <w:p>
      <w:pPr>
        <w:pStyle w:val="Heading3"/>
      </w:pPr>
      <w:r>
        <w:t>Multi-agent scenarios (S035–S036)</w:t>
      </w:r>
    </w:p>
    <w:p>
      <w:r>
        <w:t>Each agent is evaluated individually. Combination-specific synergistic effects are not modelled. Assess whether the individual-agent output is adequate or whether multi-agent interactions represent a clinically significant gap.</w:t>
      </w:r>
    </w:p>
    <w:p>
      <w:pPr>
        <w:pStyle w:val="Heading3"/>
      </w:pPr>
      <w:r>
        <w:t>Critical false-reassurance scenarios</w:t>
      </w:r>
    </w:p>
    <w:p>
      <w:r>
        <w:t>S024 (Gemcitabine + lung RT), S025 (Temozolomide + brain RT), and S036 (Carboplatin/paclitaxel + lung RT) are known or standard combinations that may currently return Uncertain due to rule gaps. Please assess these with particular care.</w:t>
      </w:r>
    </w:p>
    <w:p>
      <w:pPr>
        <w:pStyle w:val="Heading1"/>
      </w:pPr>
      <w:r>
        <w:t>5. Alert Level Reference</w:t>
      </w:r>
    </w:p>
    <w:p>
      <w:r>
        <w:t>The app uses five alert levels. Use the table below when completing the review form.</w:t>
      </w:r>
    </w:p>
    <w:tbl>
      <w:tblPr>
        <w:tblStyle w:val="TableGrid"/>
        <w:tblW w:type="auto" w:w="0"/>
        <w:tblLook w:firstColumn="1" w:firstRow="1" w:lastColumn="0" w:lastRow="0" w:noHBand="0" w:noVBand="1" w:val="04A0"/>
      </w:tblPr>
      <w:tblGrid>
        <w:gridCol w:w="3168"/>
        <w:gridCol w:w="6192"/>
      </w:tblGrid>
      <w:tr>
        <w:tc>
          <w:tcPr>
            <w:tcW w:type="dxa" w:w="4536"/>
            <w:shd w:val="clear" w:color="auto" w:fill="1F4E79"/>
          </w:tcPr>
          <w:p>
            <w:r>
              <w:rPr>
                <w:b/>
                <w:color w:val="FFFFFF"/>
                <w:sz w:val="19"/>
              </w:rPr>
              <w:t>Alert Level</w:t>
            </w:r>
          </w:p>
        </w:tc>
        <w:tc>
          <w:tcPr>
            <w:tcW w:type="dxa" w:w="4536"/>
            <w:shd w:val="clear" w:color="auto" w:fill="1F4E79"/>
          </w:tcPr>
          <w:p>
            <w:r>
              <w:rPr>
                <w:b/>
                <w:color w:val="FFFFFF"/>
                <w:sz w:val="19"/>
              </w:rPr>
              <w:t>Clinical Meaning</w:t>
            </w:r>
          </w:p>
        </w:tc>
      </w:tr>
      <w:tr>
        <w:tc>
          <w:tcPr>
            <w:tcW w:type="dxa" w:w="3168"/>
            <w:shd w:val="clear" w:color="auto" w:fill="FFFFFF"/>
          </w:tcPr>
          <w:p>
            <w:r>
              <w:rPr>
                <w:b/>
                <w:sz w:val="19"/>
              </w:rPr>
              <w:t>No specific alert</w:t>
            </w:r>
          </w:p>
        </w:tc>
        <w:tc>
          <w:tcPr>
            <w:tcW w:type="dxa" w:w="6192"/>
            <w:shd w:val="clear" w:color="auto" w:fill="FFFFFF"/>
          </w:tcPr>
          <w:p>
            <w:r>
              <w:rPr>
                <w:sz w:val="19"/>
              </w:rPr>
              <w:t>No interaction signal for this combination; standard clinical checks apply.</w:t>
            </w:r>
          </w:p>
        </w:tc>
      </w:tr>
      <w:tr>
        <w:tc>
          <w:tcPr>
            <w:tcW w:type="dxa" w:w="3168"/>
            <w:shd w:val="clear" w:color="auto" w:fill="F2F7FC"/>
          </w:tcPr>
          <w:p>
            <w:r>
              <w:rPr>
                <w:b/>
                <w:sz w:val="19"/>
              </w:rPr>
              <w:t>Caution</w:t>
            </w:r>
          </w:p>
        </w:tc>
        <w:tc>
          <w:tcPr>
            <w:tcW w:type="dxa" w:w="6192"/>
            <w:shd w:val="clear" w:color="auto" w:fill="F2F7FC"/>
          </w:tcPr>
          <w:p>
            <w:r>
              <w:rPr>
                <w:sz w:val="19"/>
              </w:rPr>
              <w:t>Recognised combination with expected managed toxicity (e.g. protocol chemoradiation); awareness required.</w:t>
            </w:r>
          </w:p>
        </w:tc>
      </w:tr>
      <w:tr>
        <w:tc>
          <w:tcPr>
            <w:tcW w:type="dxa" w:w="3168"/>
            <w:shd w:val="clear" w:color="auto" w:fill="FFFFFF"/>
          </w:tcPr>
          <w:p>
            <w:r>
              <w:rPr>
                <w:b/>
                <w:sz w:val="19"/>
              </w:rPr>
              <w:t>Moderate toxicity alert</w:t>
            </w:r>
          </w:p>
        </w:tc>
        <w:tc>
          <w:tcPr>
            <w:tcW w:type="dxa" w:w="6192"/>
            <w:shd w:val="clear" w:color="auto" w:fill="FFFFFF"/>
          </w:tcPr>
          <w:p>
            <w:r>
              <w:rPr>
                <w:sz w:val="19"/>
              </w:rPr>
              <w:t>Meaningful evidence of enhanced toxicity requiring active monitoring.</w:t>
            </w:r>
          </w:p>
        </w:tc>
      </w:tr>
      <w:tr>
        <w:tc>
          <w:tcPr>
            <w:tcW w:type="dxa" w:w="3168"/>
            <w:shd w:val="clear" w:color="auto" w:fill="F2F7FC"/>
          </w:tcPr>
          <w:p>
            <w:r>
              <w:rPr>
                <w:b/>
                <w:sz w:val="19"/>
              </w:rPr>
              <w:t>High toxicity alert</w:t>
            </w:r>
          </w:p>
        </w:tc>
        <w:tc>
          <w:tcPr>
            <w:tcW w:type="dxa" w:w="6192"/>
            <w:shd w:val="clear" w:color="auto" w:fill="F2F7FC"/>
          </w:tcPr>
          <w:p>
            <w:r>
              <w:rPr>
                <w:sz w:val="19"/>
              </w:rPr>
              <w:t>Well-documented severe or life-threatening enhanced toxicity; specialist coordination required.</w:t>
            </w:r>
          </w:p>
        </w:tc>
      </w:tr>
      <w:tr>
        <w:tc>
          <w:tcPr>
            <w:tcW w:type="dxa" w:w="3168"/>
            <w:shd w:val="clear" w:color="auto" w:fill="FFFFFF"/>
          </w:tcPr>
          <w:p>
            <w:r>
              <w:rPr>
                <w:b/>
                <w:sz w:val="19"/>
              </w:rPr>
              <w:t>Uncertain / evidence limited</w:t>
            </w:r>
          </w:p>
        </w:tc>
        <w:tc>
          <w:tcPr>
            <w:tcW w:type="dxa" w:w="6192"/>
            <w:shd w:val="clear" w:color="auto" w:fill="FFFFFF"/>
          </w:tcPr>
          <w:p>
            <w:r>
              <w:rPr>
                <w:sz w:val="19"/>
              </w:rPr>
              <w:t>Insufficient evidence to assign an alert level; do not interpret as low risk; specialist review recommended.</w:t>
            </w:r>
          </w:p>
        </w:tc>
      </w:tr>
      <w:tr>
        <w:tc>
          <w:tcPr>
            <w:tcW w:type="dxa" w:w="3168"/>
            <w:shd w:val="clear" w:color="auto" w:fill="F2F7FC"/>
          </w:tcPr>
          <w:p>
            <w:r>
              <w:rPr>
                <w:b/>
                <w:sz w:val="19"/>
              </w:rPr>
              <w:t>Incomplete (S032–S034)</w:t>
            </w:r>
          </w:p>
        </w:tc>
        <w:tc>
          <w:tcPr>
            <w:tcW w:type="dxa" w:w="6192"/>
            <w:shd w:val="clear" w:color="auto" w:fill="F2F7FC"/>
          </w:tcPr>
          <w:p>
            <w:r>
              <w:rPr>
                <w:sz w:val="19"/>
              </w:rPr>
              <w:t>App returns a prompt or incomplete state when required inputs are missing.</w:t>
            </w:r>
          </w:p>
        </w:tc>
      </w:tr>
    </w:tbl>
    <w:p/>
    <w:p>
      <w:pPr>
        <w:pStyle w:val="Heading1"/>
      </w:pPr>
      <w:r>
        <w:t>6. Validation Scenarios</w:t>
      </w:r>
    </w:p>
    <w:p>
      <w:r>
        <w:t>This section lists all 42 synthetic validation scenarios. Each scenario shows the inputs to enter into RT Interact and a brief task description. Do not interpret the absence of an expected answer as guidance — assess the app output independently based on your clinical judgement.</w:t>
      </w:r>
    </w:p>
    <w:p/>
    <w:p>
      <w:pPr>
        <w:pStyle w:val="Heading2"/>
      </w:pPr>
      <w:r>
        <w:t>Scenario overview</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r>
              <w:rPr>
                <w:b/>
                <w:color w:val="FFFFFF"/>
                <w:sz w:val="18"/>
              </w:rPr>
              <w:t>Category</w:t>
            </w:r>
          </w:p>
        </w:tc>
        <w:tc>
          <w:tcPr>
            <w:tcW w:type="dxa" w:w="3024"/>
            <w:shd w:val="clear" w:color="auto" w:fill="2E75B6"/>
          </w:tcPr>
          <w:p>
            <w:r>
              <w:rPr>
                <w:b/>
                <w:color w:val="FFFFFF"/>
                <w:sz w:val="18"/>
              </w:rPr>
              <w:t>Scenarios</w:t>
            </w:r>
          </w:p>
        </w:tc>
        <w:tc>
          <w:tcPr>
            <w:tcW w:type="dxa" w:w="3024"/>
            <w:shd w:val="clear" w:color="auto" w:fill="2E75B6"/>
          </w:tcPr>
          <w:p>
            <w:r>
              <w:rPr>
                <w:b/>
                <w:color w:val="FFFFFF"/>
                <w:sz w:val="18"/>
              </w:rPr>
              <w:t>Focus</w:t>
            </w:r>
          </w:p>
        </w:tc>
      </w:tr>
      <w:tr>
        <w:tc>
          <w:tcPr>
            <w:tcW w:type="dxa" w:w="3024"/>
            <w:shd w:val="clear" w:color="auto" w:fill="F2F7FC"/>
          </w:tcPr>
          <w:p>
            <w:r>
              <w:rPr>
                <w:b/>
                <w:sz w:val="18"/>
              </w:rPr>
              <w:t>Low concern / No specific alert</w:t>
            </w:r>
          </w:p>
        </w:tc>
        <w:tc>
          <w:tcPr>
            <w:tcW w:type="dxa" w:w="3024"/>
            <w:shd w:val="clear" w:color="auto" w:fill="F2F7FC"/>
          </w:tcPr>
          <w:p>
            <w:r>
              <w:rPr>
                <w:sz w:val="18"/>
              </w:rPr>
              <w:t>S001–S005</w:t>
            </w:r>
          </w:p>
        </w:tc>
        <w:tc>
          <w:tcPr>
            <w:tcW w:type="dxa" w:w="3024"/>
            <w:shd w:val="clear" w:color="auto" w:fill="F2F7FC"/>
          </w:tcPr>
          <w:p>
            <w:r>
              <w:rPr>
                <w:sz w:val="18"/>
              </w:rPr>
              <w:t>Confirm no false-high alerts for standard low-risk sequential combinations.</w:t>
            </w:r>
          </w:p>
        </w:tc>
      </w:tr>
      <w:tr>
        <w:tc>
          <w:tcPr>
            <w:tcW w:type="dxa" w:w="3024"/>
            <w:shd w:val="clear" w:color="auto" w:fill="FFFFFF"/>
          </w:tcPr>
          <w:p>
            <w:r>
              <w:rPr>
                <w:b/>
                <w:sz w:val="18"/>
              </w:rPr>
              <w:t>Caution</w:t>
            </w:r>
          </w:p>
        </w:tc>
        <w:tc>
          <w:tcPr>
            <w:tcW w:type="dxa" w:w="3024"/>
            <w:shd w:val="clear" w:color="auto" w:fill="FFFFFF"/>
          </w:tcPr>
          <w:p>
            <w:r>
              <w:rPr>
                <w:sz w:val="18"/>
              </w:rPr>
              <w:t>S006–S008</w:t>
            </w:r>
          </w:p>
        </w:tc>
        <w:tc>
          <w:tcPr>
            <w:tcW w:type="dxa" w:w="3024"/>
            <w:shd w:val="clear" w:color="auto" w:fill="FFFFFF"/>
          </w:tcPr>
          <w:p>
            <w:r>
              <w:rPr>
                <w:sz w:val="18"/>
              </w:rPr>
              <w:t>Protocol chemoradiation and ICI + brain SRS; confirm appropriate calibration.</w:t>
            </w:r>
          </w:p>
        </w:tc>
      </w:tr>
      <w:tr>
        <w:tc>
          <w:tcPr>
            <w:tcW w:type="dxa" w:w="3024"/>
            <w:shd w:val="clear" w:color="auto" w:fill="F2F7FC"/>
          </w:tcPr>
          <w:p>
            <w:r>
              <w:rPr>
                <w:b/>
                <w:sz w:val="18"/>
              </w:rPr>
              <w:t>Moderate toxicity alert</w:t>
            </w:r>
          </w:p>
        </w:tc>
        <w:tc>
          <w:tcPr>
            <w:tcW w:type="dxa" w:w="3024"/>
            <w:shd w:val="clear" w:color="auto" w:fill="F2F7FC"/>
          </w:tcPr>
          <w:p>
            <w:r>
              <w:rPr>
                <w:sz w:val="18"/>
              </w:rPr>
              <w:t>S009–S017</w:t>
            </w:r>
          </w:p>
        </w:tc>
        <w:tc>
          <w:tcPr>
            <w:tcW w:type="dxa" w:w="3024"/>
            <w:shd w:val="clear" w:color="auto" w:fill="F2F7FC"/>
          </w:tcPr>
          <w:p>
            <w:r>
              <w:rPr>
                <w:sz w:val="18"/>
              </w:rPr>
              <w:t>Key combination alerts; assess toxicity domain and rationale adequacy.</w:t>
            </w:r>
          </w:p>
        </w:tc>
      </w:tr>
      <w:tr>
        <w:tc>
          <w:tcPr>
            <w:tcW w:type="dxa" w:w="3024"/>
            <w:shd w:val="clear" w:color="auto" w:fill="FFFFFF"/>
          </w:tcPr>
          <w:p>
            <w:r>
              <w:rPr>
                <w:b/>
                <w:sz w:val="18"/>
              </w:rPr>
              <w:t>High toxicity alert</w:t>
            </w:r>
          </w:p>
        </w:tc>
        <w:tc>
          <w:tcPr>
            <w:tcW w:type="dxa" w:w="3024"/>
            <w:shd w:val="clear" w:color="auto" w:fill="FFFFFF"/>
          </w:tcPr>
          <w:p>
            <w:r>
              <w:rPr>
                <w:sz w:val="18"/>
              </w:rPr>
              <w:t>S018–S023</w:t>
            </w:r>
          </w:p>
        </w:tc>
        <w:tc>
          <w:tcPr>
            <w:tcW w:type="dxa" w:w="3024"/>
            <w:shd w:val="clear" w:color="auto" w:fill="FFFFFF"/>
          </w:tcPr>
          <w:p>
            <w:r>
              <w:rPr>
                <w:sz w:val="18"/>
              </w:rPr>
              <w:t>Anti-VEGF + SBRT, CAR-T, bispecifics; confirm High alert is clinically warranted.</w:t>
            </w:r>
          </w:p>
        </w:tc>
      </w:tr>
      <w:tr>
        <w:tc>
          <w:tcPr>
            <w:tcW w:type="dxa" w:w="3024"/>
            <w:shd w:val="clear" w:color="auto" w:fill="F2F7FC"/>
          </w:tcPr>
          <w:p>
            <w:r>
              <w:rPr>
                <w:b/>
                <w:sz w:val="18"/>
              </w:rPr>
              <w:t>Uncertain / evidence limited</w:t>
            </w:r>
          </w:p>
        </w:tc>
        <w:tc>
          <w:tcPr>
            <w:tcW w:type="dxa" w:w="3024"/>
            <w:shd w:val="clear" w:color="auto" w:fill="F2F7FC"/>
          </w:tcPr>
          <w:p>
            <w:r>
              <w:rPr>
                <w:sz w:val="18"/>
              </w:rPr>
              <w:t>S024–S029</w:t>
            </w:r>
          </w:p>
        </w:tc>
        <w:tc>
          <w:tcPr>
            <w:tcW w:type="dxa" w:w="3024"/>
            <w:shd w:val="clear" w:color="auto" w:fill="F2F7FC"/>
          </w:tcPr>
          <w:p>
            <w:r>
              <w:rPr>
                <w:sz w:val="18"/>
              </w:rPr>
              <w:t>Known and novel agents with limited rules; assess false-reassurance risk.</w:t>
            </w:r>
          </w:p>
        </w:tc>
      </w:tr>
      <w:tr>
        <w:tc>
          <w:tcPr>
            <w:tcW w:type="dxa" w:w="3024"/>
            <w:shd w:val="clear" w:color="auto" w:fill="FFFFFF"/>
          </w:tcPr>
          <w:p>
            <w:r>
              <w:rPr>
                <w:b/>
                <w:sz w:val="18"/>
              </w:rPr>
              <w:t>Unmatched / evolving evidence</w:t>
            </w:r>
          </w:p>
        </w:tc>
        <w:tc>
          <w:tcPr>
            <w:tcW w:type="dxa" w:w="3024"/>
            <w:shd w:val="clear" w:color="auto" w:fill="FFFFFF"/>
          </w:tcPr>
          <w:p>
            <w:r>
              <w:rPr>
                <w:sz w:val="18"/>
              </w:rPr>
              <w:t>S030–S031</w:t>
            </w:r>
          </w:p>
        </w:tc>
        <w:tc>
          <w:tcPr>
            <w:tcW w:type="dxa" w:w="3024"/>
            <w:shd w:val="clear" w:color="auto" w:fill="FFFFFF"/>
          </w:tcPr>
          <w:p>
            <w:r>
              <w:rPr>
                <w:sz w:val="18"/>
              </w:rPr>
              <w:t>Novel agents returned via fallback; assess whether Uncertain is appropriate.</w:t>
            </w:r>
          </w:p>
        </w:tc>
      </w:tr>
      <w:tr>
        <w:tc>
          <w:tcPr>
            <w:tcW w:type="dxa" w:w="3024"/>
            <w:shd w:val="clear" w:color="auto" w:fill="F2F7FC"/>
          </w:tcPr>
          <w:p>
            <w:r>
              <w:rPr>
                <w:b/>
                <w:sz w:val="18"/>
              </w:rPr>
              <w:t>Missing input states</w:t>
            </w:r>
          </w:p>
        </w:tc>
        <w:tc>
          <w:tcPr>
            <w:tcW w:type="dxa" w:w="3024"/>
            <w:shd w:val="clear" w:color="auto" w:fill="F2F7FC"/>
          </w:tcPr>
          <w:p>
            <w:r>
              <w:rPr>
                <w:sz w:val="18"/>
              </w:rPr>
              <w:t>S032–S034</w:t>
            </w:r>
          </w:p>
        </w:tc>
        <w:tc>
          <w:tcPr>
            <w:tcW w:type="dxa" w:w="3024"/>
            <w:shd w:val="clear" w:color="auto" w:fill="F2F7FC"/>
          </w:tcPr>
          <w:p>
            <w:r>
              <w:rPr>
                <w:sz w:val="18"/>
              </w:rPr>
              <w:t>Incomplete inputs; confirm safe handling with no premature alert.</w:t>
            </w:r>
          </w:p>
        </w:tc>
      </w:tr>
      <w:tr>
        <w:tc>
          <w:tcPr>
            <w:tcW w:type="dxa" w:w="3024"/>
            <w:shd w:val="clear" w:color="auto" w:fill="FFFFFF"/>
          </w:tcPr>
          <w:p>
            <w:r>
              <w:rPr>
                <w:b/>
                <w:sz w:val="18"/>
              </w:rPr>
              <w:t>Multi-agent</w:t>
            </w:r>
          </w:p>
        </w:tc>
        <w:tc>
          <w:tcPr>
            <w:tcW w:type="dxa" w:w="3024"/>
            <w:shd w:val="clear" w:color="auto" w:fill="FFFFFF"/>
          </w:tcPr>
          <w:p>
            <w:r>
              <w:rPr>
                <w:sz w:val="18"/>
              </w:rPr>
              <w:t>S035–S036</w:t>
            </w:r>
          </w:p>
        </w:tc>
        <w:tc>
          <w:tcPr>
            <w:tcW w:type="dxa" w:w="3024"/>
            <w:shd w:val="clear" w:color="auto" w:fill="FFFFFF"/>
          </w:tcPr>
          <w:p>
            <w:r>
              <w:rPr>
                <w:sz w:val="18"/>
              </w:rPr>
              <w:t>Dual ICI and platinum+taxane doublet; assess combination gap adequacy.</w:t>
            </w:r>
          </w:p>
        </w:tc>
      </w:tr>
      <w:tr>
        <w:tc>
          <w:tcPr>
            <w:tcW w:type="dxa" w:w="3024"/>
            <w:shd w:val="clear" w:color="auto" w:fill="F2F7FC"/>
          </w:tcPr>
          <w:p>
            <w:r>
              <w:rPr>
                <w:b/>
                <w:sz w:val="18"/>
              </w:rPr>
              <w:t>Timing-sensitive</w:t>
            </w:r>
          </w:p>
        </w:tc>
        <w:tc>
          <w:tcPr>
            <w:tcW w:type="dxa" w:w="3024"/>
            <w:shd w:val="clear" w:color="auto" w:fill="F2F7FC"/>
          </w:tcPr>
          <w:p>
            <w:r>
              <w:rPr>
                <w:sz w:val="18"/>
              </w:rPr>
              <w:t>S037–S039</w:t>
            </w:r>
          </w:p>
        </w:tc>
        <w:tc>
          <w:tcPr>
            <w:tcW w:type="dxa" w:w="3024"/>
            <w:shd w:val="clear" w:color="auto" w:fill="F2F7FC"/>
          </w:tcPr>
          <w:p>
            <w:r>
              <w:rPr>
                <w:sz w:val="18"/>
              </w:rPr>
              <w:t>Anti-VEGF timing, recent capecitabine, anthracycline recall; assess timing logic.</w:t>
            </w:r>
          </w:p>
        </w:tc>
      </w:tr>
      <w:tr>
        <w:tc>
          <w:tcPr>
            <w:tcW w:type="dxa" w:w="3024"/>
            <w:shd w:val="clear" w:color="auto" w:fill="FFFFFF"/>
          </w:tcPr>
          <w:p>
            <w:r>
              <w:rPr>
                <w:b/>
                <w:sz w:val="18"/>
              </w:rPr>
              <w:t>Fractionation-sensitive</w:t>
            </w:r>
          </w:p>
        </w:tc>
        <w:tc>
          <w:tcPr>
            <w:tcW w:type="dxa" w:w="3024"/>
            <w:shd w:val="clear" w:color="auto" w:fill="FFFFFF"/>
          </w:tcPr>
          <w:p>
            <w:r>
              <w:rPr>
                <w:sz w:val="18"/>
              </w:rPr>
              <w:t>S040–S041</w:t>
            </w:r>
          </w:p>
        </w:tc>
        <w:tc>
          <w:tcPr>
            <w:tcW w:type="dxa" w:w="3024"/>
            <w:shd w:val="clear" w:color="auto" w:fill="FFFFFF"/>
          </w:tcPr>
          <w:p>
            <w:r>
              <w:rPr>
                <w:sz w:val="18"/>
              </w:rPr>
              <w:t>ICI + SBRT vs conventional; CDK4/6 domain change with fractionation.</w:t>
            </w:r>
          </w:p>
        </w:tc>
      </w:tr>
      <w:tr>
        <w:tc>
          <w:tcPr>
            <w:tcW w:type="dxa" w:w="3024"/>
            <w:shd w:val="clear" w:color="auto" w:fill="F2F7FC"/>
          </w:tcPr>
          <w:p>
            <w:r>
              <w:rPr>
                <w:b/>
                <w:sz w:val="18"/>
              </w:rPr>
              <w:t>Site-specific interaction</w:t>
            </w:r>
          </w:p>
        </w:tc>
        <w:tc>
          <w:tcPr>
            <w:tcW w:type="dxa" w:w="3024"/>
            <w:shd w:val="clear" w:color="auto" w:fill="F2F7FC"/>
          </w:tcPr>
          <w:p>
            <w:r>
              <w:rPr>
                <w:sz w:val="18"/>
              </w:rPr>
              <w:t>S042</w:t>
            </w:r>
          </w:p>
        </w:tc>
        <w:tc>
          <w:tcPr>
            <w:tcW w:type="dxa" w:w="3024"/>
            <w:shd w:val="clear" w:color="auto" w:fill="F2F7FC"/>
          </w:tcPr>
          <w:p>
            <w:r>
              <w:rPr>
                <w:sz w:val="18"/>
              </w:rPr>
              <w:t>Trastuzumab + breast RT; classification and alert assessment.</w:t>
            </w:r>
          </w:p>
        </w:tc>
      </w:tr>
    </w:tbl>
    <w:p/>
    <w:p/>
    <w:p>
      <w:pPr>
        <w:pStyle w:val="Heading2"/>
      </w:pPr>
      <w:r>
        <w:t>Low concern — No specific alert  (S001–S005)</w:t>
      </w:r>
    </w:p>
    <w:p>
      <w:pPr>
        <w:shd w:val="clear" w:color="auto" w:fill="D6E4F0"/>
        <w:spacing w:before="120" w:after="60"/>
        <w:ind w:left="0"/>
      </w:pPr>
      <w:r>
        <w:rPr>
          <w:b/>
          <w:color w:val="1F4E79"/>
          <w:sz w:val="22"/>
        </w:rPr>
        <w:t xml:space="preserve">  Scenario S001</w:t>
      </w:r>
    </w:p>
    <w:p>
      <w:pPr>
        <w:spacing w:before="20" w:after="20"/>
      </w:pPr>
      <w:r>
        <w:rPr>
          <w:b/>
          <w:color w:val="1F4E79"/>
          <w:sz w:val="19"/>
        </w:rPr>
        <w:t xml:space="preserve">Agent:  </w:t>
      </w:r>
      <w:r>
        <w:rPr>
          <w:sz w:val="19"/>
        </w:rPr>
        <w:t>Enzalutamide</w:t>
      </w:r>
    </w:p>
    <w:p>
      <w:pPr>
        <w:spacing w:before="20" w:after="20"/>
      </w:pPr>
      <w:r>
        <w:rPr>
          <w:b/>
          <w:color w:val="1F4E79"/>
          <w:sz w:val="19"/>
        </w:rPr>
        <w:t xml:space="preserve">Agent class:  </w:t>
      </w:r>
      <w:r>
        <w:rPr>
          <w:sz w:val="19"/>
        </w:rPr>
        <w:t>Androgen receptor antagonist / ADT</w:t>
      </w:r>
    </w:p>
    <w:p>
      <w:pPr>
        <w:spacing w:before="20" w:after="20"/>
      </w:pPr>
      <w:r>
        <w:rPr>
          <w:b/>
          <w:color w:val="1F4E79"/>
          <w:sz w:val="19"/>
        </w:rPr>
        <w:t xml:space="preserve">RT site:  </w:t>
      </w:r>
      <w:r>
        <w:rPr>
          <w:sz w:val="19"/>
        </w:rPr>
        <w:t>Prostate — Prostate only</w:t>
      </w:r>
    </w:p>
    <w:p>
      <w:pPr>
        <w:spacing w:before="20" w:after="20"/>
      </w:pPr>
      <w:r>
        <w:rPr>
          <w:b/>
          <w:color w:val="1F4E79"/>
          <w:sz w:val="19"/>
        </w:rPr>
        <w:t xml:space="preserve">Timing:  </w:t>
      </w:r>
      <w:r>
        <w:rPr>
          <w:sz w:val="19"/>
        </w:rPr>
        <w:t>Sequential</w:t>
      </w:r>
    </w:p>
    <w:p>
      <w:pPr>
        <w:spacing w:before="20" w:after="20"/>
      </w:pPr>
      <w:r>
        <w:rPr>
          <w:b/>
          <w:color w:val="1F4E79"/>
          <w:sz w:val="19"/>
        </w:rPr>
        <w:t xml:space="preserve">Fractionation:  </w:t>
      </w:r>
      <w:r>
        <w:rPr>
          <w:sz w:val="19"/>
        </w:rPr>
        <w:t>Palliative single fraction</w:t>
      </w:r>
    </w:p>
    <w:p>
      <w:pPr>
        <w:spacing w:before="80" w:after="40"/>
      </w:pPr>
      <w:r>
        <w:rPr>
          <w:b/>
          <w:color w:val="1F4E79"/>
          <w:sz w:val="19"/>
        </w:rPr>
        <w:t xml:space="preserve">Task:  </w:t>
      </w:r>
      <w:r>
        <w:rPr>
          <w:i/>
          <w:sz w:val="19"/>
        </w:rPr>
        <w:t>Enter these inputs into RT Interact and assess whether the alert level is appropriate for this standard sequential low-risk combination.</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S002</w:t>
      </w:r>
    </w:p>
    <w:p>
      <w:pPr>
        <w:spacing w:before="20" w:after="20"/>
      </w:pPr>
      <w:r>
        <w:rPr>
          <w:b/>
          <w:color w:val="1F4E79"/>
          <w:sz w:val="19"/>
        </w:rPr>
        <w:t xml:space="preserve">Agent:  </w:t>
      </w:r>
      <w:r>
        <w:rPr>
          <w:sz w:val="19"/>
        </w:rPr>
        <w:t>Letrozole</w:t>
      </w:r>
    </w:p>
    <w:p>
      <w:pPr>
        <w:spacing w:before="20" w:after="20"/>
      </w:pPr>
      <w:r>
        <w:rPr>
          <w:b/>
          <w:color w:val="1F4E79"/>
          <w:sz w:val="19"/>
        </w:rPr>
        <w:t xml:space="preserve">Agent class:  </w:t>
      </w:r>
      <w:r>
        <w:rPr>
          <w:sz w:val="19"/>
        </w:rPr>
        <w:t>Aromatase inhibitor / endocrine therapy</w:t>
      </w:r>
    </w:p>
    <w:p>
      <w:pPr>
        <w:spacing w:before="20" w:after="20"/>
      </w:pPr>
      <w:r>
        <w:rPr>
          <w:b/>
          <w:color w:val="1F4E79"/>
          <w:sz w:val="19"/>
        </w:rPr>
        <w:t xml:space="preserve">RT site:  </w:t>
      </w:r>
      <w:r>
        <w:rPr>
          <w:sz w:val="19"/>
        </w:rPr>
        <w:t>Breast — Whole breast</w:t>
      </w:r>
    </w:p>
    <w:p>
      <w:pPr>
        <w:spacing w:before="20" w:after="20"/>
      </w:pPr>
      <w:r>
        <w:rPr>
          <w:b/>
          <w:color w:val="1F4E79"/>
          <w:sz w:val="19"/>
        </w:rPr>
        <w:t xml:space="preserve">Timing:  </w:t>
      </w:r>
      <w:r>
        <w:rPr>
          <w:sz w:val="19"/>
        </w:rPr>
        <w:t>Planned after RT</w:t>
      </w:r>
    </w:p>
    <w:p>
      <w:pPr>
        <w:spacing w:before="20" w:after="20"/>
      </w:pPr>
      <w:r>
        <w:rPr>
          <w:b/>
          <w:color w:val="1F4E79"/>
          <w:sz w:val="19"/>
        </w:rPr>
        <w:t xml:space="preserve">Fractionation:  </w:t>
      </w:r>
      <w:r>
        <w:rPr>
          <w:sz w:val="19"/>
        </w:rPr>
        <w:t>Palliative multifraction</w:t>
      </w:r>
    </w:p>
    <w:p>
      <w:pPr>
        <w:spacing w:before="80" w:after="40"/>
      </w:pPr>
      <w:r>
        <w:rPr>
          <w:b/>
          <w:color w:val="1F4E79"/>
          <w:sz w:val="19"/>
        </w:rPr>
        <w:t xml:space="preserve">Task:  </w:t>
      </w:r>
      <w:r>
        <w:rPr>
          <w:i/>
          <w:sz w:val="19"/>
        </w:rPr>
        <w:t>Enter these inputs into RT Interact and assess whether the alert level is appropriate for this standard sequential low-risk combination.</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S003</w:t>
      </w:r>
    </w:p>
    <w:p>
      <w:pPr>
        <w:spacing w:before="20" w:after="20"/>
      </w:pPr>
      <w:r>
        <w:rPr>
          <w:b/>
          <w:color w:val="1F4E79"/>
          <w:sz w:val="19"/>
        </w:rPr>
        <w:t xml:space="preserve">Agent:  </w:t>
      </w:r>
      <w:r>
        <w:rPr>
          <w:sz w:val="19"/>
        </w:rPr>
        <w:t>Abiraterone</w:t>
      </w:r>
    </w:p>
    <w:p>
      <w:pPr>
        <w:spacing w:before="20" w:after="20"/>
      </w:pPr>
      <w:r>
        <w:rPr>
          <w:b/>
          <w:color w:val="1F4E79"/>
          <w:sz w:val="19"/>
        </w:rPr>
        <w:t xml:space="preserve">Agent class:  </w:t>
      </w:r>
      <w:r>
        <w:rPr>
          <w:sz w:val="19"/>
        </w:rPr>
        <w:t>Androgen synthesis inhibitor / ADT</w:t>
      </w:r>
    </w:p>
    <w:p>
      <w:pPr>
        <w:spacing w:before="20" w:after="20"/>
      </w:pPr>
      <w:r>
        <w:rPr>
          <w:b/>
          <w:color w:val="1F4E79"/>
          <w:sz w:val="19"/>
        </w:rPr>
        <w:t xml:space="preserve">RT site:  </w:t>
      </w:r>
      <w:r>
        <w:rPr>
          <w:sz w:val="19"/>
        </w:rPr>
        <w:t>Prostate — Prostate + pelvic nodes</w:t>
      </w:r>
    </w:p>
    <w:p>
      <w:pPr>
        <w:spacing w:before="20" w:after="20"/>
      </w:pPr>
      <w:r>
        <w:rPr>
          <w:b/>
          <w:color w:val="1F4E79"/>
          <w:sz w:val="19"/>
        </w:rPr>
        <w:t xml:space="preserve">Timing:  </w:t>
      </w:r>
      <w:r>
        <w:rPr>
          <w:sz w:val="19"/>
        </w:rPr>
        <w:t>Sequential</w:t>
      </w:r>
    </w:p>
    <w:p>
      <w:pPr>
        <w:spacing w:before="20" w:after="20"/>
      </w:pPr>
      <w:r>
        <w:rPr>
          <w:b/>
          <w:color w:val="1F4E79"/>
          <w:sz w:val="19"/>
        </w:rPr>
        <w:t xml:space="preserve">Fractionation:  </w:t>
      </w:r>
      <w:r>
        <w:rPr>
          <w:sz w:val="19"/>
        </w:rPr>
        <w:t>Palliative multifraction</w:t>
      </w:r>
    </w:p>
    <w:p>
      <w:pPr>
        <w:spacing w:before="80" w:after="40"/>
      </w:pPr>
      <w:r>
        <w:rPr>
          <w:b/>
          <w:color w:val="1F4E79"/>
          <w:sz w:val="19"/>
        </w:rPr>
        <w:t xml:space="preserve">Task:  </w:t>
      </w:r>
      <w:r>
        <w:rPr>
          <w:i/>
          <w:sz w:val="19"/>
        </w:rPr>
        <w:t>Enter these inputs into RT Interact and assess whether the alert level is appropriate for this standard sequential low-risk combination.</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S004</w:t>
      </w:r>
    </w:p>
    <w:p>
      <w:pPr>
        <w:spacing w:before="20" w:after="20"/>
      </w:pPr>
      <w:r>
        <w:rPr>
          <w:b/>
          <w:color w:val="1F4E79"/>
          <w:sz w:val="19"/>
        </w:rPr>
        <w:t xml:space="preserve">Agent:  </w:t>
      </w:r>
      <w:r>
        <w:rPr>
          <w:sz w:val="19"/>
        </w:rPr>
        <w:t>Bicalutamide</w:t>
      </w:r>
    </w:p>
    <w:p>
      <w:pPr>
        <w:spacing w:before="20" w:after="20"/>
      </w:pPr>
      <w:r>
        <w:rPr>
          <w:b/>
          <w:color w:val="1F4E79"/>
          <w:sz w:val="19"/>
        </w:rPr>
        <w:t xml:space="preserve">Agent class:  </w:t>
      </w:r>
      <w:r>
        <w:rPr>
          <w:sz w:val="19"/>
        </w:rPr>
        <w:t>Androgen receptor antagonist / ADT</w:t>
      </w:r>
    </w:p>
    <w:p>
      <w:pPr>
        <w:spacing w:before="20" w:after="20"/>
      </w:pPr>
      <w:r>
        <w:rPr>
          <w:b/>
          <w:color w:val="1F4E79"/>
          <w:sz w:val="19"/>
        </w:rPr>
        <w:t xml:space="preserve">RT site:  </w:t>
      </w:r>
      <w:r>
        <w:rPr>
          <w:sz w:val="19"/>
        </w:rPr>
        <w:t>Spine — Lumbar/sacral</w:t>
      </w:r>
    </w:p>
    <w:p>
      <w:pPr>
        <w:spacing w:before="20" w:after="20"/>
      </w:pPr>
      <w:r>
        <w:rPr>
          <w:b/>
          <w:color w:val="1F4E79"/>
          <w:sz w:val="19"/>
        </w:rPr>
        <w:t xml:space="preserve">Timing:  </w:t>
      </w:r>
      <w:r>
        <w:rPr>
          <w:sz w:val="19"/>
        </w:rPr>
        <w:t>Sequential</w:t>
      </w:r>
    </w:p>
    <w:p>
      <w:pPr>
        <w:spacing w:before="20" w:after="20"/>
      </w:pPr>
      <w:r>
        <w:rPr>
          <w:b/>
          <w:color w:val="1F4E79"/>
          <w:sz w:val="19"/>
        </w:rPr>
        <w:t xml:space="preserve">Fractionation:  </w:t>
      </w:r>
      <w:r>
        <w:rPr>
          <w:sz w:val="19"/>
        </w:rPr>
        <w:t>Palliative multifraction</w:t>
      </w:r>
    </w:p>
    <w:p>
      <w:pPr>
        <w:spacing w:before="80" w:after="40"/>
      </w:pPr>
      <w:r>
        <w:rPr>
          <w:b/>
          <w:color w:val="1F4E79"/>
          <w:sz w:val="19"/>
        </w:rPr>
        <w:t xml:space="preserve">Task:  </w:t>
      </w:r>
      <w:r>
        <w:rPr>
          <w:i/>
          <w:sz w:val="19"/>
        </w:rPr>
        <w:t>Enter these inputs into RT Interact and assess whether the alert level is appropriate for this standard sequential low-risk combination.</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S005</w:t>
      </w:r>
    </w:p>
    <w:p>
      <w:pPr>
        <w:spacing w:before="20" w:after="20"/>
      </w:pPr>
      <w:r>
        <w:rPr>
          <w:b/>
          <w:color w:val="1F4E79"/>
          <w:sz w:val="19"/>
        </w:rPr>
        <w:t xml:space="preserve">Agent:  </w:t>
      </w:r>
      <w:r>
        <w:rPr>
          <w:sz w:val="19"/>
        </w:rPr>
        <w:t>Anastrozole</w:t>
      </w:r>
    </w:p>
    <w:p>
      <w:pPr>
        <w:spacing w:before="20" w:after="20"/>
      </w:pPr>
      <w:r>
        <w:rPr>
          <w:b/>
          <w:color w:val="1F4E79"/>
          <w:sz w:val="19"/>
        </w:rPr>
        <w:t xml:space="preserve">Agent class:  </w:t>
      </w:r>
      <w:r>
        <w:rPr>
          <w:sz w:val="19"/>
        </w:rPr>
        <w:t>Aromatase inhibitor / endocrine therapy</w:t>
      </w:r>
    </w:p>
    <w:p>
      <w:pPr>
        <w:spacing w:before="20" w:after="20"/>
      </w:pPr>
      <w:r>
        <w:rPr>
          <w:b/>
          <w:color w:val="1F4E79"/>
          <w:sz w:val="19"/>
        </w:rPr>
        <w:t xml:space="preserve">RT site:  </w:t>
      </w:r>
      <w:r>
        <w:rPr>
          <w:sz w:val="19"/>
        </w:rPr>
        <w:t>Breast — Chest wall</w:t>
      </w:r>
    </w:p>
    <w:p>
      <w:pPr>
        <w:spacing w:before="20" w:after="20"/>
      </w:pPr>
      <w:r>
        <w:rPr>
          <w:b/>
          <w:color w:val="1F4E79"/>
          <w:sz w:val="19"/>
        </w:rPr>
        <w:t xml:space="preserve">Timing:  </w:t>
      </w:r>
      <w:r>
        <w:rPr>
          <w:sz w:val="19"/>
        </w:rPr>
        <w:t>Planned after RT</w:t>
      </w:r>
    </w:p>
    <w:p>
      <w:pPr>
        <w:spacing w:before="20" w:after="20"/>
      </w:pPr>
      <w:r>
        <w:rPr>
          <w:b/>
          <w:color w:val="1F4E79"/>
          <w:sz w:val="19"/>
        </w:rPr>
        <w:t xml:space="preserve">Fractionation:  </w:t>
      </w:r>
      <w:r>
        <w:rPr>
          <w:sz w:val="19"/>
        </w:rPr>
        <w:t>Palliative single fraction</w:t>
      </w:r>
    </w:p>
    <w:p>
      <w:pPr>
        <w:spacing w:before="80" w:after="40"/>
      </w:pPr>
      <w:r>
        <w:rPr>
          <w:b/>
          <w:color w:val="1F4E79"/>
          <w:sz w:val="19"/>
        </w:rPr>
        <w:t xml:space="preserve">Task:  </w:t>
      </w:r>
      <w:r>
        <w:rPr>
          <w:i/>
          <w:sz w:val="19"/>
        </w:rPr>
        <w:t>Enter these inputs into RT Interact and assess whether the alert level is appropriate for this standard sequential low-risk combination.</w:t>
      </w:r>
    </w:p>
    <w:p>
      <w:pPr>
        <w:pBdr>
          <w:bottom w:val="single" w:sz="4" w:space="1" w:color="CCCCCC"/>
        </w:pBdr>
        <w:spacing w:before="120" w:after="120"/>
      </w:pPr>
    </w:p>
    <w:p>
      <w:pPr>
        <w:pStyle w:val="Heading2"/>
      </w:pPr>
      <w:r>
        <w:t>Caution  (S006–S008)</w:t>
      </w:r>
    </w:p>
    <w:p>
      <w:pPr>
        <w:shd w:val="clear" w:color="auto" w:fill="D6E4F0"/>
        <w:spacing w:before="120" w:after="60"/>
        <w:ind w:left="0"/>
      </w:pPr>
      <w:r>
        <w:rPr>
          <w:b/>
          <w:color w:val="1F4E79"/>
          <w:sz w:val="22"/>
        </w:rPr>
        <w:t xml:space="preserve">  Scenario S006</w:t>
      </w:r>
    </w:p>
    <w:p>
      <w:pPr>
        <w:spacing w:before="20" w:after="20"/>
      </w:pPr>
      <w:r>
        <w:rPr>
          <w:b/>
          <w:color w:val="1F4E79"/>
          <w:sz w:val="19"/>
        </w:rPr>
        <w:t xml:space="preserve">Agent:  </w:t>
      </w:r>
      <w:r>
        <w:rPr>
          <w:sz w:val="19"/>
        </w:rPr>
        <w:t>Paclitaxel</w:t>
      </w:r>
    </w:p>
    <w:p>
      <w:pPr>
        <w:spacing w:before="20" w:after="20"/>
      </w:pPr>
      <w:r>
        <w:rPr>
          <w:b/>
          <w:color w:val="1F4E79"/>
          <w:sz w:val="19"/>
        </w:rPr>
        <w:t xml:space="preserve">Agent class:  </w:t>
      </w:r>
      <w:r>
        <w:rPr>
          <w:sz w:val="19"/>
        </w:rPr>
        <w:t>Cytotoxic chemotherapy — taxane</w:t>
      </w:r>
    </w:p>
    <w:p>
      <w:pPr>
        <w:spacing w:before="20" w:after="20"/>
      </w:pPr>
      <w:r>
        <w:rPr>
          <w:b/>
          <w:color w:val="1F4E79"/>
          <w:sz w:val="19"/>
        </w:rPr>
        <w:t xml:space="preserve">RT site:  </w:t>
      </w:r>
      <w:r>
        <w:rPr>
          <w:sz w:val="19"/>
        </w:rPr>
        <w:t>Head and neck — Larynx/hypopharynx</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20" w:after="20"/>
      </w:pPr>
      <w:r>
        <w:rPr>
          <w:b/>
          <w:color w:val="1F4E79"/>
          <w:sz w:val="19"/>
        </w:rPr>
        <w:t xml:space="preserve">Treatment intent:  </w:t>
      </w:r>
      <w:r>
        <w:rPr>
          <w:sz w:val="19"/>
        </w:rPr>
        <w:t>Curative</w:t>
      </w:r>
    </w:p>
    <w:p>
      <w:pPr>
        <w:spacing w:before="80" w:after="40"/>
      </w:pPr>
      <w:r>
        <w:rPr>
          <w:b/>
          <w:color w:val="1F4E79"/>
          <w:sz w:val="19"/>
        </w:rPr>
        <w:t xml:space="preserve">Task:  </w:t>
      </w:r>
      <w:r>
        <w:rPr>
          <w:i/>
          <w:sz w:val="19"/>
        </w:rPr>
        <w:t>Enter these inputs into RT Interact and assess whether the alert level and toxicity domains are clinically appropriate for this recognised protocol combination.</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S007</w:t>
      </w:r>
    </w:p>
    <w:p>
      <w:pPr>
        <w:spacing w:before="20" w:after="20"/>
      </w:pPr>
      <w:r>
        <w:rPr>
          <w:b/>
          <w:color w:val="1F4E79"/>
          <w:sz w:val="19"/>
        </w:rPr>
        <w:t xml:space="preserve">Agent:  </w:t>
      </w:r>
      <w:r>
        <w:rPr>
          <w:sz w:val="19"/>
        </w:rPr>
        <w:t>Ipilimumab</w:t>
      </w:r>
    </w:p>
    <w:p>
      <w:pPr>
        <w:spacing w:before="20" w:after="20"/>
      </w:pPr>
      <w:r>
        <w:rPr>
          <w:b/>
          <w:color w:val="1F4E79"/>
          <w:sz w:val="19"/>
        </w:rPr>
        <w:t xml:space="preserve">Agent class:  </w:t>
      </w:r>
      <w:r>
        <w:rPr>
          <w:sz w:val="19"/>
        </w:rPr>
        <w:t>Immune checkpoint inhibitor — anti-CTLA-4</w:t>
      </w:r>
    </w:p>
    <w:p>
      <w:pPr>
        <w:spacing w:before="20" w:after="20"/>
      </w:pPr>
      <w:r>
        <w:rPr>
          <w:b/>
          <w:color w:val="1F4E79"/>
          <w:sz w:val="19"/>
        </w:rPr>
        <w:t xml:space="preserve">RT site:  </w:t>
      </w:r>
      <w:r>
        <w:rPr>
          <w:sz w:val="19"/>
        </w:rPr>
        <w:t>Brain — SRS/focal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SRS</w:t>
      </w:r>
    </w:p>
    <w:p>
      <w:pPr>
        <w:spacing w:before="80" w:after="40"/>
      </w:pPr>
      <w:r>
        <w:rPr>
          <w:b/>
          <w:color w:val="1F4E79"/>
          <w:sz w:val="19"/>
        </w:rPr>
        <w:t xml:space="preserve">Task:  </w:t>
      </w:r>
      <w:r>
        <w:rPr>
          <w:i/>
          <w:sz w:val="19"/>
        </w:rPr>
        <w:t>Enter these inputs into RT Interact and assess the alert level, toxicity domains, rationale, and evidence for clinical appropriateness.</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S008</w:t>
      </w:r>
    </w:p>
    <w:p>
      <w:pPr>
        <w:spacing w:before="20" w:after="20"/>
      </w:pPr>
      <w:r>
        <w:rPr>
          <w:b/>
          <w:color w:val="1F4E79"/>
          <w:sz w:val="19"/>
        </w:rPr>
        <w:t xml:space="preserve">Agent:  </w:t>
      </w:r>
      <w:r>
        <w:rPr>
          <w:sz w:val="19"/>
        </w:rPr>
        <w:t>Docetaxel</w:t>
      </w:r>
    </w:p>
    <w:p>
      <w:pPr>
        <w:spacing w:before="20" w:after="20"/>
      </w:pPr>
      <w:r>
        <w:rPr>
          <w:b/>
          <w:color w:val="1F4E79"/>
          <w:sz w:val="19"/>
        </w:rPr>
        <w:t xml:space="preserve">Agent class:  </w:t>
      </w:r>
      <w:r>
        <w:rPr>
          <w:sz w:val="19"/>
        </w:rPr>
        <w:t>Cytotoxic chemotherapy — taxane</w:t>
      </w:r>
    </w:p>
    <w:p>
      <w:pPr>
        <w:spacing w:before="20" w:after="20"/>
      </w:pPr>
      <w:r>
        <w:rPr>
          <w:b/>
          <w:color w:val="1F4E79"/>
          <w:sz w:val="19"/>
        </w:rPr>
        <w:t xml:space="preserve">RT site:  </w:t>
      </w:r>
      <w:r>
        <w:rPr>
          <w:sz w:val="19"/>
        </w:rPr>
        <w:t>Head and neck — Oral cavity/oropharynx</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20" w:after="20"/>
      </w:pPr>
      <w:r>
        <w:rPr>
          <w:b/>
          <w:color w:val="1F4E79"/>
          <w:sz w:val="19"/>
        </w:rPr>
        <w:t xml:space="preserve">Treatment intent:  </w:t>
      </w:r>
      <w:r>
        <w:rPr>
          <w:sz w:val="19"/>
        </w:rPr>
        <w:t>Curative</w:t>
      </w:r>
    </w:p>
    <w:p>
      <w:pPr>
        <w:spacing w:before="80" w:after="40"/>
      </w:pPr>
      <w:r>
        <w:rPr>
          <w:b/>
          <w:color w:val="1F4E79"/>
          <w:sz w:val="19"/>
        </w:rPr>
        <w:t xml:space="preserve">Task:  </w:t>
      </w:r>
      <w:r>
        <w:rPr>
          <w:i/>
          <w:sz w:val="19"/>
        </w:rPr>
        <w:t>Enter these inputs into RT Interact and assess whether the alert level and toxicity domains are clinically appropriate for this recognised protocol combination.</w:t>
      </w:r>
    </w:p>
    <w:p>
      <w:pPr>
        <w:pBdr>
          <w:bottom w:val="single" w:sz="4" w:space="1" w:color="CCCCCC"/>
        </w:pBdr>
        <w:spacing w:before="120" w:after="120"/>
      </w:pPr>
    </w:p>
    <w:p>
      <w:pPr>
        <w:pStyle w:val="Heading2"/>
      </w:pPr>
      <w:r>
        <w:t>Moderate toxicity alert  (S009–S017)</w:t>
      </w:r>
    </w:p>
    <w:p>
      <w:pPr>
        <w:shd w:val="clear" w:color="auto" w:fill="D6E4F0"/>
        <w:spacing w:before="120" w:after="60"/>
        <w:ind w:left="0"/>
      </w:pPr>
      <w:r>
        <w:rPr>
          <w:b/>
          <w:color w:val="1F4E79"/>
          <w:sz w:val="22"/>
        </w:rPr>
        <w:t xml:space="preserve">  Scenario S009</w:t>
      </w:r>
    </w:p>
    <w:p>
      <w:pPr>
        <w:spacing w:before="20" w:after="20"/>
      </w:pPr>
      <w:r>
        <w:rPr>
          <w:b/>
          <w:color w:val="1F4E79"/>
          <w:sz w:val="19"/>
        </w:rPr>
        <w:t xml:space="preserve">Agent:  </w:t>
      </w:r>
      <w:r>
        <w:rPr>
          <w:sz w:val="19"/>
        </w:rPr>
        <w:t>Cisplatin</w:t>
      </w:r>
    </w:p>
    <w:p>
      <w:pPr>
        <w:spacing w:before="20" w:after="20"/>
      </w:pPr>
      <w:r>
        <w:rPr>
          <w:b/>
          <w:color w:val="1F4E79"/>
          <w:sz w:val="19"/>
        </w:rPr>
        <w:t xml:space="preserve">Agent class:  </w:t>
      </w:r>
      <w:r>
        <w:rPr>
          <w:sz w:val="19"/>
        </w:rPr>
        <w:t>Cytotoxic chemotherapy — platinum / strong mucosal radiosensitiser</w:t>
      </w:r>
    </w:p>
    <w:p>
      <w:pPr>
        <w:spacing w:before="20" w:after="20"/>
      </w:pPr>
      <w:r>
        <w:rPr>
          <w:b/>
          <w:color w:val="1F4E79"/>
          <w:sz w:val="19"/>
        </w:rPr>
        <w:t xml:space="preserve">RT site:  </w:t>
      </w:r>
      <w:r>
        <w:rPr>
          <w:sz w:val="19"/>
        </w:rPr>
        <w:t>Head and neck — Oral cavity/oropharynx</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20" w:after="20"/>
      </w:pPr>
      <w:r>
        <w:rPr>
          <w:b/>
          <w:color w:val="1F4E79"/>
          <w:sz w:val="19"/>
        </w:rPr>
        <w:t xml:space="preserve">Treatment intent:  </w:t>
      </w:r>
      <w:r>
        <w:rPr>
          <w:sz w:val="19"/>
        </w:rPr>
        <w:t>Curative</w:t>
      </w:r>
    </w:p>
    <w:p>
      <w:pPr>
        <w:spacing w:before="80" w:after="40"/>
      </w:pPr>
      <w:r>
        <w:rPr>
          <w:b/>
          <w:color w:val="1F4E79"/>
          <w:sz w:val="19"/>
        </w:rPr>
        <w:t xml:space="preserve">Task:  </w:t>
      </w:r>
      <w:r>
        <w:rPr>
          <w:i/>
          <w:sz w:val="19"/>
        </w:rPr>
        <w:t>Enter these inputs into RT Interact and assess whether the alert level, toxicity domains, and rationale are clinically appropriate.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S010</w:t>
      </w:r>
    </w:p>
    <w:p>
      <w:pPr>
        <w:spacing w:before="20" w:after="20"/>
      </w:pPr>
      <w:r>
        <w:rPr>
          <w:b/>
          <w:color w:val="1F4E79"/>
          <w:sz w:val="19"/>
        </w:rPr>
        <w:t xml:space="preserve">Agent:  </w:t>
      </w:r>
      <w:r>
        <w:rPr>
          <w:sz w:val="19"/>
        </w:rPr>
        <w:t>Palbociclib</w:t>
      </w:r>
    </w:p>
    <w:p>
      <w:pPr>
        <w:spacing w:before="20" w:after="20"/>
      </w:pPr>
      <w:r>
        <w:rPr>
          <w:b/>
          <w:color w:val="1F4E79"/>
          <w:sz w:val="19"/>
        </w:rPr>
        <w:t xml:space="preserve">Agent class:  </w:t>
      </w:r>
      <w:r>
        <w:rPr>
          <w:sz w:val="19"/>
        </w:rPr>
        <w:t>CDK4/6 inhibitor</w:t>
      </w:r>
    </w:p>
    <w:p>
      <w:pPr>
        <w:spacing w:before="20" w:after="20"/>
      </w:pPr>
      <w:r>
        <w:rPr>
          <w:b/>
          <w:color w:val="1F4E79"/>
          <w:sz w:val="19"/>
        </w:rPr>
        <w:t xml:space="preserve">RT site:  </w:t>
      </w:r>
      <w:r>
        <w:rPr>
          <w:sz w:val="19"/>
        </w:rPr>
        <w:t>Pelvis — Rectal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alert level, toxicity domains, and rationale are clinically appropriate.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S011</w:t>
      </w:r>
    </w:p>
    <w:p>
      <w:pPr>
        <w:spacing w:before="20" w:after="20"/>
      </w:pPr>
      <w:r>
        <w:rPr>
          <w:b/>
          <w:color w:val="1F4E79"/>
          <w:sz w:val="19"/>
        </w:rPr>
        <w:t xml:space="preserve">Agent:  </w:t>
      </w:r>
      <w:r>
        <w:rPr>
          <w:sz w:val="19"/>
        </w:rPr>
        <w:t>Osimertinib</w:t>
      </w:r>
    </w:p>
    <w:p>
      <w:pPr>
        <w:spacing w:before="20" w:after="20"/>
      </w:pPr>
      <w:r>
        <w:rPr>
          <w:b/>
          <w:color w:val="1F4E79"/>
          <w:sz w:val="19"/>
        </w:rPr>
        <w:t xml:space="preserve">Agent class:  </w:t>
      </w:r>
      <w:r>
        <w:rPr>
          <w:sz w:val="19"/>
        </w:rPr>
        <w:t>EGFR TKI (3rd generation)</w:t>
      </w:r>
    </w:p>
    <w:p>
      <w:pPr>
        <w:spacing w:before="20" w:after="20"/>
      </w:pPr>
      <w:r>
        <w:rPr>
          <w:b/>
          <w:color w:val="1F4E79"/>
          <w:sz w:val="19"/>
        </w:rPr>
        <w:t xml:space="preserve">RT site:  </w:t>
      </w:r>
      <w:r>
        <w:rPr>
          <w:sz w:val="19"/>
        </w:rPr>
        <w:t>Lung — Peripheral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Enter these inputs into RT Interact and assess whether the alert level, toxicity domains, and rationale are clinically appropriate.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S012</w:t>
      </w:r>
    </w:p>
    <w:p>
      <w:pPr>
        <w:spacing w:before="20" w:after="20"/>
      </w:pPr>
      <w:r>
        <w:rPr>
          <w:b/>
          <w:color w:val="1F4E79"/>
          <w:sz w:val="19"/>
        </w:rPr>
        <w:t xml:space="preserve">Agent:  </w:t>
      </w:r>
      <w:r>
        <w:rPr>
          <w:sz w:val="19"/>
        </w:rPr>
        <w:t>Trastuzumab deruxtecan (T-DXd)</w:t>
      </w:r>
    </w:p>
    <w:p>
      <w:pPr>
        <w:spacing w:before="20" w:after="20"/>
      </w:pPr>
      <w:r>
        <w:rPr>
          <w:b/>
          <w:color w:val="1F4E79"/>
          <w:sz w:val="19"/>
        </w:rPr>
        <w:t xml:space="preserve">Agent class:  </w:t>
      </w:r>
      <w:r>
        <w:rPr>
          <w:sz w:val="19"/>
        </w:rPr>
        <w:t>HER2-directed antibody-drug conjugate</w:t>
      </w:r>
    </w:p>
    <w:p>
      <w:pPr>
        <w:spacing w:before="20" w:after="20"/>
      </w:pPr>
      <w:r>
        <w:rPr>
          <w:b/>
          <w:color w:val="1F4E79"/>
          <w:sz w:val="19"/>
        </w:rPr>
        <w:t xml:space="preserve">RT site:  </w:t>
      </w:r>
      <w:r>
        <w:rPr>
          <w:sz w:val="19"/>
        </w:rPr>
        <w:t>Lung — Central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Moderate hypofractionation</w:t>
      </w:r>
    </w:p>
    <w:p>
      <w:pPr>
        <w:spacing w:before="80" w:after="40"/>
      </w:pPr>
      <w:r>
        <w:rPr>
          <w:b/>
          <w:color w:val="1F4E79"/>
          <w:sz w:val="19"/>
        </w:rPr>
        <w:t xml:space="preserve">Task:  </w:t>
      </w:r>
      <w:r>
        <w:rPr>
          <w:i/>
          <w:sz w:val="19"/>
        </w:rPr>
        <w:t>Enter these inputs into RT Interact and assess whether the alert level, toxicity domains, and rationale are clinically appropriate.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S013</w:t>
      </w:r>
    </w:p>
    <w:p>
      <w:pPr>
        <w:spacing w:before="20" w:after="20"/>
      </w:pPr>
      <w:r>
        <w:rPr>
          <w:b/>
          <w:color w:val="1F4E79"/>
          <w:sz w:val="19"/>
        </w:rPr>
        <w:t xml:space="preserve">Agent:  </w:t>
      </w:r>
      <w:r>
        <w:rPr>
          <w:sz w:val="19"/>
        </w:rPr>
        <w:t>Nivolumab</w:t>
      </w:r>
    </w:p>
    <w:p>
      <w:pPr>
        <w:spacing w:before="20" w:after="20"/>
      </w:pPr>
      <w:r>
        <w:rPr>
          <w:b/>
          <w:color w:val="1F4E79"/>
          <w:sz w:val="19"/>
        </w:rPr>
        <w:t xml:space="preserve">Agent class:  </w:t>
      </w:r>
      <w:r>
        <w:rPr>
          <w:sz w:val="19"/>
        </w:rPr>
        <w:t>Immune checkpoint inhibitor — anti-PD-1</w:t>
      </w:r>
    </w:p>
    <w:p>
      <w:pPr>
        <w:spacing w:before="20" w:after="20"/>
      </w:pPr>
      <w:r>
        <w:rPr>
          <w:b/>
          <w:color w:val="1F4E79"/>
          <w:sz w:val="19"/>
        </w:rPr>
        <w:t xml:space="preserve">RT site:  </w:t>
      </w:r>
      <w:r>
        <w:rPr>
          <w:sz w:val="19"/>
        </w:rPr>
        <w:t>Lung — Peripheral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alert level, toxicity domains, and rationale are clinically appropriate.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S014</w:t>
      </w:r>
    </w:p>
    <w:p>
      <w:pPr>
        <w:spacing w:before="20" w:after="20"/>
      </w:pPr>
      <w:r>
        <w:rPr>
          <w:b/>
          <w:color w:val="1F4E79"/>
          <w:sz w:val="19"/>
        </w:rPr>
        <w:t xml:space="preserve">Agent:  </w:t>
      </w:r>
      <w:r>
        <w:rPr>
          <w:sz w:val="19"/>
        </w:rPr>
        <w:t>Dabrafenib</w:t>
      </w:r>
    </w:p>
    <w:p>
      <w:pPr>
        <w:spacing w:before="20" w:after="20"/>
      </w:pPr>
      <w:r>
        <w:rPr>
          <w:b/>
          <w:color w:val="1F4E79"/>
          <w:sz w:val="19"/>
        </w:rPr>
        <w:t xml:space="preserve">Agent class:  </w:t>
      </w:r>
      <w:r>
        <w:rPr>
          <w:sz w:val="19"/>
        </w:rPr>
        <w:t>BRAF inhibitor</w:t>
      </w:r>
    </w:p>
    <w:p>
      <w:pPr>
        <w:spacing w:before="20" w:after="20"/>
      </w:pPr>
      <w:r>
        <w:rPr>
          <w:b/>
          <w:color w:val="1F4E79"/>
          <w:sz w:val="19"/>
        </w:rPr>
        <w:t xml:space="preserve">RT site:  </w:t>
      </w:r>
      <w:r>
        <w:rPr>
          <w:sz w:val="19"/>
        </w:rPr>
        <w:t>Skin/superficial — Skin lesion</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alert level, toxicity domains, and rationale are clinically appropriate.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S015</w:t>
      </w:r>
    </w:p>
    <w:p>
      <w:pPr>
        <w:spacing w:before="20" w:after="20"/>
      </w:pPr>
      <w:r>
        <w:rPr>
          <w:b/>
          <w:color w:val="1F4E79"/>
          <w:sz w:val="19"/>
        </w:rPr>
        <w:t xml:space="preserve">Agent:  </w:t>
      </w:r>
      <w:r>
        <w:rPr>
          <w:sz w:val="19"/>
        </w:rPr>
        <w:t>Cetuximab</w:t>
      </w:r>
    </w:p>
    <w:p>
      <w:pPr>
        <w:spacing w:before="20" w:after="20"/>
      </w:pPr>
      <w:r>
        <w:rPr>
          <w:b/>
          <w:color w:val="1F4E79"/>
          <w:sz w:val="19"/>
        </w:rPr>
        <w:t xml:space="preserve">Agent class:  </w:t>
      </w:r>
      <w:r>
        <w:rPr>
          <w:sz w:val="19"/>
        </w:rPr>
        <w:t>EGFR-targeted monoclonal antibody</w:t>
      </w:r>
    </w:p>
    <w:p>
      <w:pPr>
        <w:spacing w:before="20" w:after="20"/>
      </w:pPr>
      <w:r>
        <w:rPr>
          <w:b/>
          <w:color w:val="1F4E79"/>
          <w:sz w:val="19"/>
        </w:rPr>
        <w:t xml:space="preserve">RT site:  </w:t>
      </w:r>
      <w:r>
        <w:rPr>
          <w:sz w:val="19"/>
        </w:rPr>
        <w:t>Oesophagus — Mid-thoracic</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alert level, toxicity domains, and rationale are clinically appropriate.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S016</w:t>
      </w:r>
    </w:p>
    <w:p>
      <w:pPr>
        <w:spacing w:before="20" w:after="20"/>
      </w:pPr>
      <w:r>
        <w:rPr>
          <w:b/>
          <w:color w:val="1F4E79"/>
          <w:sz w:val="19"/>
        </w:rPr>
        <w:t xml:space="preserve">Agent:  </w:t>
      </w:r>
      <w:r>
        <w:rPr>
          <w:sz w:val="19"/>
        </w:rPr>
        <w:t>Ribociclib</w:t>
      </w:r>
    </w:p>
    <w:p>
      <w:pPr>
        <w:spacing w:before="20" w:after="20"/>
      </w:pPr>
      <w:r>
        <w:rPr>
          <w:b/>
          <w:color w:val="1F4E79"/>
          <w:sz w:val="19"/>
        </w:rPr>
        <w:t xml:space="preserve">Agent class:  </w:t>
      </w:r>
      <w:r>
        <w:rPr>
          <w:sz w:val="19"/>
        </w:rPr>
        <w:t>CDK4/6 inhibitor</w:t>
      </w:r>
    </w:p>
    <w:p>
      <w:pPr>
        <w:spacing w:before="20" w:after="20"/>
      </w:pPr>
      <w:r>
        <w:rPr>
          <w:b/>
          <w:color w:val="1F4E79"/>
          <w:sz w:val="19"/>
        </w:rPr>
        <w:t xml:space="preserve">RT site:  </w:t>
      </w:r>
      <w:r>
        <w:rPr>
          <w:sz w:val="19"/>
        </w:rPr>
        <w:t>Pelvis — Gynaecological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Moderate hypofractionation</w:t>
      </w:r>
    </w:p>
    <w:p>
      <w:pPr>
        <w:spacing w:before="80" w:after="40"/>
      </w:pPr>
      <w:r>
        <w:rPr>
          <w:b/>
          <w:color w:val="1F4E79"/>
          <w:sz w:val="19"/>
        </w:rPr>
        <w:t xml:space="preserve">Task:  </w:t>
      </w:r>
      <w:r>
        <w:rPr>
          <w:i/>
          <w:sz w:val="19"/>
        </w:rPr>
        <w:t>Enter these inputs into RT Interact and assess whether the alert level, toxicity domains, and rationale are clinically appropriate.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S017</w:t>
      </w:r>
    </w:p>
    <w:p>
      <w:pPr>
        <w:spacing w:before="20" w:after="20"/>
      </w:pPr>
      <w:r>
        <w:rPr>
          <w:b/>
          <w:color w:val="1F4E79"/>
          <w:sz w:val="19"/>
        </w:rPr>
        <w:t xml:space="preserve">Agent:  </w:t>
      </w:r>
      <w:r>
        <w:rPr>
          <w:sz w:val="19"/>
        </w:rPr>
        <w:t>Gemcitabine</w:t>
      </w:r>
    </w:p>
    <w:p>
      <w:pPr>
        <w:spacing w:before="20" w:after="20"/>
      </w:pPr>
      <w:r>
        <w:rPr>
          <w:b/>
          <w:color w:val="1F4E79"/>
          <w:sz w:val="19"/>
        </w:rPr>
        <w:t xml:space="preserve">Agent class:  </w:t>
      </w:r>
      <w:r>
        <w:rPr>
          <w:sz w:val="19"/>
        </w:rPr>
        <w:t>Cytotoxic chemotherapy — antimetabolite / gemcitabine</w:t>
      </w:r>
    </w:p>
    <w:p>
      <w:pPr>
        <w:spacing w:before="20" w:after="20"/>
      </w:pPr>
      <w:r>
        <w:rPr>
          <w:b/>
          <w:color w:val="1F4E79"/>
          <w:sz w:val="19"/>
        </w:rPr>
        <w:t xml:space="preserve">RT site:  </w:t>
      </w:r>
      <w:r>
        <w:rPr>
          <w:sz w:val="19"/>
        </w:rPr>
        <w:t>Spine — Thoracic</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Large-field marrow-exposing RT</w:t>
      </w:r>
    </w:p>
    <w:p>
      <w:pPr>
        <w:spacing w:before="80" w:after="40"/>
      </w:pPr>
      <w:r>
        <w:rPr>
          <w:b/>
          <w:color w:val="1F4E79"/>
          <w:sz w:val="19"/>
        </w:rPr>
        <w:t xml:space="preserve">Task:  </w:t>
      </w:r>
      <w:r>
        <w:rPr>
          <w:i/>
          <w:sz w:val="19"/>
        </w:rPr>
        <w:t>Enter these inputs into RT Interact and assess whether the alert level, toxicity domains, and rationale are clinically appropriate.</w:t>
      </w:r>
    </w:p>
    <w:p>
      <w:pPr>
        <w:pBdr>
          <w:bottom w:val="single" w:sz="4" w:space="1" w:color="CCCCCC"/>
        </w:pBdr>
        <w:spacing w:before="120" w:after="120"/>
      </w:pPr>
    </w:p>
    <w:p>
      <w:pPr>
        <w:pStyle w:val="Heading2"/>
      </w:pPr>
      <w:r>
        <w:t>High toxicity alert  (S018–S023)</w:t>
      </w:r>
    </w:p>
    <w:p>
      <w:pPr>
        <w:shd w:val="clear" w:color="auto" w:fill="D6E4F0"/>
        <w:spacing w:before="120" w:after="60"/>
        <w:ind w:left="0"/>
      </w:pPr>
      <w:r>
        <w:rPr>
          <w:b/>
          <w:color w:val="1F4E79"/>
          <w:sz w:val="22"/>
        </w:rPr>
        <w:t xml:space="preserve">  Scenario S018</w:t>
      </w:r>
    </w:p>
    <w:p>
      <w:pPr>
        <w:spacing w:before="20" w:after="20"/>
      </w:pPr>
      <w:r>
        <w:rPr>
          <w:b/>
          <w:color w:val="1F4E79"/>
          <w:sz w:val="19"/>
        </w:rPr>
        <w:t xml:space="preserve">Agent:  </w:t>
      </w:r>
      <w:r>
        <w:rPr>
          <w:sz w:val="19"/>
        </w:rPr>
        <w:t>Bevacizumab</w:t>
      </w:r>
    </w:p>
    <w:p>
      <w:pPr>
        <w:spacing w:before="20" w:after="20"/>
      </w:pPr>
      <w:r>
        <w:rPr>
          <w:b/>
          <w:color w:val="1F4E79"/>
          <w:sz w:val="19"/>
        </w:rPr>
        <w:t xml:space="preserve">Agent class:  </w:t>
      </w:r>
      <w:r>
        <w:rPr>
          <w:sz w:val="19"/>
        </w:rPr>
        <w:t>Anti-VEGF monoclonal antibody</w:t>
      </w:r>
    </w:p>
    <w:p>
      <w:pPr>
        <w:spacing w:before="20" w:after="20"/>
      </w:pPr>
      <w:r>
        <w:rPr>
          <w:b/>
          <w:color w:val="1F4E79"/>
          <w:sz w:val="19"/>
        </w:rPr>
        <w:t xml:space="preserve">RT site:  </w:t>
      </w:r>
      <w:r>
        <w:rPr>
          <w:sz w:val="19"/>
        </w:rPr>
        <w:t>Upper abdomen — Pancreas</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Enter these inputs into RT Interact and assess whether the alert level is clinically warranted and whether all relevant toxicity domains are captured.</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S019</w:t>
      </w:r>
    </w:p>
    <w:p>
      <w:pPr>
        <w:spacing w:before="20" w:after="20"/>
      </w:pPr>
      <w:r>
        <w:rPr>
          <w:b/>
          <w:color w:val="1F4E79"/>
          <w:sz w:val="19"/>
        </w:rPr>
        <w:t xml:space="preserve">Agent:  </w:t>
      </w:r>
      <w:r>
        <w:rPr>
          <w:sz w:val="19"/>
        </w:rPr>
        <w:t>Axitinib</w:t>
      </w:r>
    </w:p>
    <w:p>
      <w:pPr>
        <w:spacing w:before="20" w:after="20"/>
      </w:pPr>
      <w:r>
        <w:rPr>
          <w:b/>
          <w:color w:val="1F4E79"/>
          <w:sz w:val="19"/>
        </w:rPr>
        <w:t xml:space="preserve">Agent class:  </w:t>
      </w:r>
      <w:r>
        <w:rPr>
          <w:sz w:val="19"/>
        </w:rPr>
        <w:t>Anti-VEGFR TKI</w:t>
      </w:r>
    </w:p>
    <w:p>
      <w:pPr>
        <w:spacing w:before="20" w:after="20"/>
      </w:pPr>
      <w:r>
        <w:rPr>
          <w:b/>
          <w:color w:val="1F4E79"/>
          <w:sz w:val="19"/>
        </w:rPr>
        <w:t xml:space="preserve">RT site:  </w:t>
      </w:r>
      <w:r>
        <w:rPr>
          <w:sz w:val="19"/>
        </w:rPr>
        <w:t>Upper abdomen — Liver</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Enter these inputs into RT Interact and assess whether the alert level is clinically warranted and whether all relevant toxicity domains are captured.</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S020</w:t>
      </w:r>
    </w:p>
    <w:p>
      <w:pPr>
        <w:spacing w:before="20" w:after="20"/>
      </w:pPr>
      <w:r>
        <w:rPr>
          <w:b/>
          <w:color w:val="1F4E79"/>
          <w:sz w:val="19"/>
        </w:rPr>
        <w:t xml:space="preserve">Agent:  </w:t>
      </w:r>
      <w:r>
        <w:rPr>
          <w:sz w:val="19"/>
        </w:rPr>
        <w:t>Sorafenib</w:t>
      </w:r>
    </w:p>
    <w:p>
      <w:pPr>
        <w:spacing w:before="20" w:after="20"/>
      </w:pPr>
      <w:r>
        <w:rPr>
          <w:b/>
          <w:color w:val="1F4E79"/>
          <w:sz w:val="19"/>
        </w:rPr>
        <w:t xml:space="preserve">Agent class:  </w:t>
      </w:r>
      <w:r>
        <w:rPr>
          <w:sz w:val="19"/>
        </w:rPr>
        <w:t>Multi-kinase / anti-VEGFR inhibitor</w:t>
      </w:r>
    </w:p>
    <w:p>
      <w:pPr>
        <w:spacing w:before="20" w:after="20"/>
      </w:pPr>
      <w:r>
        <w:rPr>
          <w:b/>
          <w:color w:val="1F4E79"/>
          <w:sz w:val="19"/>
        </w:rPr>
        <w:t xml:space="preserve">RT site:  </w:t>
      </w:r>
      <w:r>
        <w:rPr>
          <w:sz w:val="19"/>
        </w:rPr>
        <w:t>Upper abdomen — Adrenal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Enter these inputs into RT Interact and assess whether the alert level is clinically warranted and whether all relevant toxicity domains are captured.</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S021</w:t>
      </w:r>
    </w:p>
    <w:p>
      <w:pPr>
        <w:spacing w:before="20" w:after="20"/>
      </w:pPr>
      <w:r>
        <w:rPr>
          <w:b/>
          <w:color w:val="1F4E79"/>
          <w:sz w:val="19"/>
        </w:rPr>
        <w:t xml:space="preserve">Agent:  </w:t>
      </w:r>
      <w:r>
        <w:rPr>
          <w:sz w:val="19"/>
        </w:rPr>
        <w:t>Tisagenlecleucel</w:t>
      </w:r>
    </w:p>
    <w:p>
      <w:pPr>
        <w:spacing w:before="20" w:after="20"/>
      </w:pPr>
      <w:r>
        <w:rPr>
          <w:b/>
          <w:color w:val="1F4E79"/>
          <w:sz w:val="19"/>
        </w:rPr>
        <w:t xml:space="preserve">Agent class:  </w:t>
      </w:r>
      <w:r>
        <w:rPr>
          <w:sz w:val="19"/>
        </w:rPr>
        <w:t>CAR-T cell therapy</w:t>
      </w:r>
    </w:p>
    <w:p>
      <w:pPr>
        <w:spacing w:before="20" w:after="20"/>
      </w:pPr>
      <w:r>
        <w:rPr>
          <w:b/>
          <w:color w:val="1F4E79"/>
          <w:sz w:val="19"/>
        </w:rPr>
        <w:t xml:space="preserve">RT site:  </w:t>
      </w:r>
      <w:r>
        <w:rPr>
          <w:sz w:val="19"/>
        </w:rPr>
        <w:t>Brain — Whole brain</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alert level is clinically warranted and whether all relevant toxicity domains are captured.</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S022</w:t>
      </w:r>
    </w:p>
    <w:p>
      <w:pPr>
        <w:spacing w:before="20" w:after="20"/>
      </w:pPr>
      <w:r>
        <w:rPr>
          <w:b/>
          <w:color w:val="1F4E79"/>
          <w:sz w:val="19"/>
        </w:rPr>
        <w:t xml:space="preserve">Agent:  </w:t>
      </w:r>
      <w:r>
        <w:rPr>
          <w:sz w:val="19"/>
        </w:rPr>
        <w:t>Tarlatamab</w:t>
      </w:r>
    </w:p>
    <w:p>
      <w:pPr>
        <w:spacing w:before="20" w:after="20"/>
      </w:pPr>
      <w:r>
        <w:rPr>
          <w:b/>
          <w:color w:val="1F4E79"/>
          <w:sz w:val="19"/>
        </w:rPr>
        <w:t xml:space="preserve">Agent class:  </w:t>
      </w:r>
      <w:r>
        <w:rPr>
          <w:sz w:val="19"/>
        </w:rPr>
        <w:t>Bispecific T-cell engager (DLL3xCD3)</w:t>
      </w:r>
    </w:p>
    <w:p>
      <w:pPr>
        <w:spacing w:before="20" w:after="20"/>
      </w:pPr>
      <w:r>
        <w:rPr>
          <w:b/>
          <w:color w:val="1F4E79"/>
          <w:sz w:val="19"/>
        </w:rPr>
        <w:t xml:space="preserve">RT site:  </w:t>
      </w:r>
      <w:r>
        <w:rPr>
          <w:sz w:val="19"/>
        </w:rPr>
        <w:t>Head and neck — Oral cavity/oropharynx</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alert level is clinically warranted and whether all relevant toxicity domains are captured.</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S023</w:t>
      </w:r>
    </w:p>
    <w:p>
      <w:pPr>
        <w:spacing w:before="20" w:after="20"/>
      </w:pPr>
      <w:r>
        <w:rPr>
          <w:b/>
          <w:color w:val="1F4E79"/>
          <w:sz w:val="19"/>
        </w:rPr>
        <w:t xml:space="preserve">Agent:  </w:t>
      </w:r>
      <w:r>
        <w:rPr>
          <w:sz w:val="19"/>
        </w:rPr>
        <w:t>Ramucirumab</w:t>
      </w:r>
    </w:p>
    <w:p>
      <w:pPr>
        <w:spacing w:before="20" w:after="20"/>
      </w:pPr>
      <w:r>
        <w:rPr>
          <w:b/>
          <w:color w:val="1F4E79"/>
          <w:sz w:val="19"/>
        </w:rPr>
        <w:t xml:space="preserve">Agent class:  </w:t>
      </w:r>
      <w:r>
        <w:rPr>
          <w:sz w:val="19"/>
        </w:rPr>
        <w:t>Anti-VEGFR2 monoclonal antibody</w:t>
      </w:r>
    </w:p>
    <w:p>
      <w:pPr>
        <w:spacing w:before="20" w:after="20"/>
      </w:pPr>
      <w:r>
        <w:rPr>
          <w:b/>
          <w:color w:val="1F4E79"/>
          <w:sz w:val="19"/>
        </w:rPr>
        <w:t xml:space="preserve">RT site:  </w:t>
      </w:r>
      <w:r>
        <w:rPr>
          <w:sz w:val="19"/>
        </w:rPr>
        <w:t>Oesophagus — Lower/GOJ</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Enter these inputs into RT Interact and assess whether the alert level is clinically warranted and whether all relevant toxicity domains are captured.</w:t>
      </w:r>
    </w:p>
    <w:p>
      <w:pPr>
        <w:pBdr>
          <w:bottom w:val="single" w:sz="4" w:space="1" w:color="CCCCCC"/>
        </w:pBdr>
        <w:spacing w:before="120" w:after="120"/>
      </w:pPr>
    </w:p>
    <w:p>
      <w:pPr>
        <w:pStyle w:val="Heading2"/>
      </w:pPr>
      <w:r>
        <w:t>Uncertain / evidence limited  (S024–S029)</w:t>
      </w:r>
    </w:p>
    <w:p>
      <w:pPr>
        <w:shd w:val="clear" w:color="auto" w:fill="D6E4F0"/>
        <w:spacing w:before="120" w:after="60"/>
        <w:ind w:left="0"/>
      </w:pPr>
      <w:r>
        <w:rPr>
          <w:b/>
          <w:color w:val="1F4E79"/>
          <w:sz w:val="22"/>
        </w:rPr>
        <w:t xml:space="preserve">  Scenario S024</w:t>
      </w:r>
    </w:p>
    <w:p>
      <w:pPr>
        <w:spacing w:before="20" w:after="20"/>
      </w:pPr>
      <w:r>
        <w:rPr>
          <w:b/>
          <w:color w:val="1F4E79"/>
          <w:sz w:val="19"/>
        </w:rPr>
        <w:t xml:space="preserve">Agent:  </w:t>
      </w:r>
      <w:r>
        <w:rPr>
          <w:sz w:val="19"/>
        </w:rPr>
        <w:t>Gemcitabine</w:t>
      </w:r>
    </w:p>
    <w:p>
      <w:pPr>
        <w:spacing w:before="20" w:after="20"/>
      </w:pPr>
      <w:r>
        <w:rPr>
          <w:b/>
          <w:color w:val="1F4E79"/>
          <w:sz w:val="19"/>
        </w:rPr>
        <w:t xml:space="preserve">Agent class:  </w:t>
      </w:r>
      <w:r>
        <w:rPr>
          <w:sz w:val="19"/>
        </w:rPr>
        <w:t>Cytotoxic chemotherapy — antimetabolite / gemcitabine</w:t>
      </w:r>
    </w:p>
    <w:p>
      <w:pPr>
        <w:spacing w:before="20" w:after="20"/>
      </w:pPr>
      <w:r>
        <w:rPr>
          <w:b/>
          <w:color w:val="1F4E79"/>
          <w:sz w:val="19"/>
        </w:rPr>
        <w:t xml:space="preserve">RT site:  </w:t>
      </w:r>
      <w:r>
        <w:rPr>
          <w:sz w:val="19"/>
        </w:rPr>
        <w:t>Lung — Peripheral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output is clinically appropriate, including whether there is any risk of false reassurance.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S025</w:t>
      </w:r>
    </w:p>
    <w:p>
      <w:pPr>
        <w:spacing w:before="20" w:after="20"/>
      </w:pPr>
      <w:r>
        <w:rPr>
          <w:b/>
          <w:color w:val="1F4E79"/>
          <w:sz w:val="19"/>
        </w:rPr>
        <w:t xml:space="preserve">Agent:  </w:t>
      </w:r>
      <w:r>
        <w:rPr>
          <w:sz w:val="19"/>
        </w:rPr>
        <w:t>Temozolomide</w:t>
      </w:r>
    </w:p>
    <w:p>
      <w:pPr>
        <w:spacing w:before="20" w:after="20"/>
      </w:pPr>
      <w:r>
        <w:rPr>
          <w:b/>
          <w:color w:val="1F4E79"/>
          <w:sz w:val="19"/>
        </w:rPr>
        <w:t xml:space="preserve">Agent class:  </w:t>
      </w:r>
      <w:r>
        <w:rPr>
          <w:sz w:val="19"/>
        </w:rPr>
        <w:t>Alkylating-like agent — TMZ</w:t>
      </w:r>
    </w:p>
    <w:p>
      <w:pPr>
        <w:spacing w:before="20" w:after="20"/>
      </w:pPr>
      <w:r>
        <w:rPr>
          <w:b/>
          <w:color w:val="1F4E79"/>
          <w:sz w:val="19"/>
        </w:rPr>
        <w:t xml:space="preserve">RT site:  </w:t>
      </w:r>
      <w:r>
        <w:rPr>
          <w:sz w:val="19"/>
        </w:rPr>
        <w:t>Brain — Whole brain</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output is clinically appropriate, including whether there is any risk of false reassurance.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S026</w:t>
      </w:r>
    </w:p>
    <w:p>
      <w:pPr>
        <w:spacing w:before="20" w:after="20"/>
      </w:pPr>
      <w:r>
        <w:rPr>
          <w:b/>
          <w:color w:val="1F4E79"/>
          <w:sz w:val="19"/>
        </w:rPr>
        <w:t xml:space="preserve">Agent:  </w:t>
      </w:r>
      <w:r>
        <w:rPr>
          <w:sz w:val="19"/>
        </w:rPr>
        <w:t>Olaparib</w:t>
      </w:r>
    </w:p>
    <w:p>
      <w:pPr>
        <w:spacing w:before="20" w:after="20"/>
      </w:pPr>
      <w:r>
        <w:rPr>
          <w:b/>
          <w:color w:val="1F4E79"/>
          <w:sz w:val="19"/>
        </w:rPr>
        <w:t xml:space="preserve">Agent class:  </w:t>
      </w:r>
      <w:r>
        <w:rPr>
          <w:sz w:val="19"/>
        </w:rPr>
        <w:t>PARP inhibitor</w:t>
      </w:r>
    </w:p>
    <w:p>
      <w:pPr>
        <w:spacing w:before="20" w:after="20"/>
      </w:pPr>
      <w:r>
        <w:rPr>
          <w:b/>
          <w:color w:val="1F4E79"/>
          <w:sz w:val="19"/>
        </w:rPr>
        <w:t xml:space="preserve">RT site:  </w:t>
      </w:r>
      <w:r>
        <w:rPr>
          <w:sz w:val="19"/>
        </w:rPr>
        <w:t>Pelvis — Gynaecological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output is clinically appropriate, including whether there is any risk of false reassurance.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S027</w:t>
      </w:r>
    </w:p>
    <w:p>
      <w:pPr>
        <w:spacing w:before="20" w:after="20"/>
      </w:pPr>
      <w:r>
        <w:rPr>
          <w:b/>
          <w:color w:val="1F4E79"/>
          <w:sz w:val="19"/>
        </w:rPr>
        <w:t xml:space="preserve">Agent:  </w:t>
      </w:r>
      <w:r>
        <w:rPr>
          <w:sz w:val="19"/>
        </w:rPr>
        <w:t>Venetoclax</w:t>
      </w:r>
    </w:p>
    <w:p>
      <w:pPr>
        <w:spacing w:before="20" w:after="20"/>
      </w:pPr>
      <w:r>
        <w:rPr>
          <w:b/>
          <w:color w:val="1F4E79"/>
          <w:sz w:val="19"/>
        </w:rPr>
        <w:t xml:space="preserve">Agent class:  </w:t>
      </w:r>
      <w:r>
        <w:rPr>
          <w:sz w:val="19"/>
        </w:rPr>
        <w:t>BCL-2 inhibitor</w:t>
      </w:r>
    </w:p>
    <w:p>
      <w:pPr>
        <w:spacing w:before="20" w:after="20"/>
      </w:pPr>
      <w:r>
        <w:rPr>
          <w:b/>
          <w:color w:val="1F4E79"/>
          <w:sz w:val="19"/>
        </w:rPr>
        <w:t xml:space="preserve">RT site:  </w:t>
      </w:r>
      <w:r>
        <w:rPr>
          <w:sz w:val="19"/>
        </w:rPr>
        <w:t>Pelvis — Rectal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output is clinically appropriate, including whether there is any risk of false reassurance.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S028</w:t>
      </w:r>
    </w:p>
    <w:p>
      <w:pPr>
        <w:spacing w:before="20" w:after="20"/>
      </w:pPr>
      <w:r>
        <w:rPr>
          <w:b/>
          <w:color w:val="1F4E79"/>
          <w:sz w:val="19"/>
        </w:rPr>
        <w:t xml:space="preserve">Agent:  </w:t>
      </w:r>
      <w:r>
        <w:rPr>
          <w:sz w:val="19"/>
        </w:rPr>
        <w:t>Datopotamab deruxtecan</w:t>
      </w:r>
    </w:p>
    <w:p>
      <w:pPr>
        <w:spacing w:before="20" w:after="20"/>
      </w:pPr>
      <w:r>
        <w:rPr>
          <w:b/>
          <w:color w:val="1F4E79"/>
          <w:sz w:val="19"/>
        </w:rPr>
        <w:t xml:space="preserve">Agent class:  </w:t>
      </w:r>
      <w:r>
        <w:rPr>
          <w:sz w:val="19"/>
        </w:rPr>
        <w:t>TROP2-directed antibody-drug conjugate (novel)</w:t>
      </w:r>
    </w:p>
    <w:p>
      <w:pPr>
        <w:spacing w:before="20" w:after="20"/>
      </w:pPr>
      <w:r>
        <w:rPr>
          <w:b/>
          <w:color w:val="1F4E79"/>
          <w:sz w:val="19"/>
        </w:rPr>
        <w:t xml:space="preserve">RT site:  </w:t>
      </w:r>
      <w:r>
        <w:rPr>
          <w:sz w:val="19"/>
        </w:rPr>
        <w:t>Lung — Peripheral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output is clinically appropriate, including whether there is any risk of false reassurance.</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S029</w:t>
      </w:r>
    </w:p>
    <w:p>
      <w:pPr>
        <w:spacing w:before="20" w:after="20"/>
      </w:pPr>
      <w:r>
        <w:rPr>
          <w:b/>
          <w:color w:val="1F4E79"/>
          <w:sz w:val="19"/>
        </w:rPr>
        <w:t xml:space="preserve">Agent:  </w:t>
      </w:r>
      <w:r>
        <w:rPr>
          <w:sz w:val="19"/>
        </w:rPr>
        <w:t>Zolbetuximab</w:t>
      </w:r>
    </w:p>
    <w:p>
      <w:pPr>
        <w:spacing w:before="20" w:after="20"/>
      </w:pPr>
      <w:r>
        <w:rPr>
          <w:b/>
          <w:color w:val="1F4E79"/>
          <w:sz w:val="19"/>
        </w:rPr>
        <w:t xml:space="preserve">Agent class:  </w:t>
      </w:r>
      <w:r>
        <w:rPr>
          <w:sz w:val="19"/>
        </w:rPr>
        <w:t>Claudin 18.2 monoclonal antibody (novel)</w:t>
      </w:r>
    </w:p>
    <w:p>
      <w:pPr>
        <w:spacing w:before="20" w:after="20"/>
      </w:pPr>
      <w:r>
        <w:rPr>
          <w:b/>
          <w:color w:val="1F4E79"/>
          <w:sz w:val="19"/>
        </w:rPr>
        <w:t xml:space="preserve">RT site:  </w:t>
      </w:r>
      <w:r>
        <w:rPr>
          <w:sz w:val="19"/>
        </w:rPr>
        <w:t>Oesophagus — Lower/GOJ</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output is clinically appropriate, including whether there is any risk of false reassurance.</w:t>
      </w:r>
    </w:p>
    <w:p>
      <w:pPr>
        <w:pBdr>
          <w:bottom w:val="single" w:sz="4" w:space="1" w:color="CCCCCC"/>
        </w:pBdr>
        <w:spacing w:before="120" w:after="120"/>
      </w:pPr>
    </w:p>
    <w:p>
      <w:pPr>
        <w:pStyle w:val="Heading2"/>
      </w:pPr>
      <w:r>
        <w:t>Unmatched / evolving evidence  (S030–S031)</w:t>
      </w:r>
    </w:p>
    <w:p>
      <w:pPr>
        <w:shd w:val="clear" w:color="auto" w:fill="D6E4F0"/>
        <w:spacing w:before="120" w:after="60"/>
        <w:ind w:left="0"/>
      </w:pPr>
      <w:r>
        <w:rPr>
          <w:b/>
          <w:color w:val="1F4E79"/>
          <w:sz w:val="22"/>
        </w:rPr>
        <w:t xml:space="preserve">  Scenario S030</w:t>
      </w:r>
    </w:p>
    <w:p>
      <w:pPr>
        <w:spacing w:before="20" w:after="20"/>
      </w:pPr>
      <w:r>
        <w:rPr>
          <w:b/>
          <w:color w:val="1F4E79"/>
          <w:sz w:val="19"/>
        </w:rPr>
        <w:t xml:space="preserve">Agent:  </w:t>
      </w:r>
      <w:r>
        <w:rPr>
          <w:sz w:val="19"/>
        </w:rPr>
        <w:t>Sotorasib</w:t>
      </w:r>
    </w:p>
    <w:p>
      <w:pPr>
        <w:spacing w:before="20" w:after="20"/>
      </w:pPr>
      <w:r>
        <w:rPr>
          <w:b/>
          <w:color w:val="1F4E79"/>
          <w:sz w:val="19"/>
        </w:rPr>
        <w:t xml:space="preserve">Agent class:  </w:t>
      </w:r>
      <w:r>
        <w:rPr>
          <w:sz w:val="19"/>
        </w:rPr>
        <w:t>KRAS G12C inhibitor (evolving evidence)</w:t>
      </w:r>
    </w:p>
    <w:p>
      <w:pPr>
        <w:spacing w:before="20" w:after="20"/>
      </w:pPr>
      <w:r>
        <w:rPr>
          <w:b/>
          <w:color w:val="1F4E79"/>
          <w:sz w:val="19"/>
        </w:rPr>
        <w:t xml:space="preserve">RT site:  </w:t>
      </w:r>
      <w:r>
        <w:rPr>
          <w:sz w:val="19"/>
        </w:rPr>
        <w:t>Lung — Peripheral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Enter these inputs into RT Interact and assess whether the output is appropriate for this novel or evolving-evidence agent.</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S031</w:t>
      </w:r>
    </w:p>
    <w:p>
      <w:pPr>
        <w:spacing w:before="20" w:after="20"/>
      </w:pPr>
      <w:r>
        <w:rPr>
          <w:b/>
          <w:color w:val="1F4E79"/>
          <w:sz w:val="19"/>
        </w:rPr>
        <w:t xml:space="preserve">Agent:  </w:t>
      </w:r>
      <w:r>
        <w:rPr>
          <w:sz w:val="19"/>
        </w:rPr>
        <w:t>Clodronate</w:t>
      </w:r>
    </w:p>
    <w:p>
      <w:pPr>
        <w:spacing w:before="20" w:after="20"/>
      </w:pPr>
      <w:r>
        <w:rPr>
          <w:b/>
          <w:color w:val="1F4E79"/>
          <w:sz w:val="19"/>
        </w:rPr>
        <w:t xml:space="preserve">Agent class:  </w:t>
      </w:r>
      <w:r>
        <w:rPr>
          <w:sz w:val="19"/>
        </w:rPr>
        <w:t>Bone-modifying agent — first-generation bisphosphonate</w:t>
      </w:r>
    </w:p>
    <w:p>
      <w:pPr>
        <w:spacing w:before="20" w:after="20"/>
      </w:pPr>
      <w:r>
        <w:rPr>
          <w:b/>
          <w:color w:val="1F4E79"/>
          <w:sz w:val="19"/>
        </w:rPr>
        <w:t xml:space="preserve">RT site:  </w:t>
      </w:r>
      <w:r>
        <w:rPr>
          <w:sz w:val="19"/>
        </w:rPr>
        <w:t>Spine — Lumbar/sacral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output is appropriate for this novel or evolving-evidence agent.</w:t>
      </w:r>
    </w:p>
    <w:p>
      <w:pPr>
        <w:pBdr>
          <w:bottom w:val="single" w:sz="4" w:space="1" w:color="CCCCCC"/>
        </w:pBdr>
        <w:spacing w:before="120" w:after="120"/>
      </w:pPr>
    </w:p>
    <w:p>
      <w:pPr>
        <w:pStyle w:val="Heading2"/>
      </w:pPr>
      <w:r>
        <w:t>Missing input states  (S032–S034)</w:t>
      </w:r>
    </w:p>
    <w:p>
      <w:pPr>
        <w:shd w:val="clear" w:color="auto" w:fill="D6E4F0"/>
        <w:spacing w:before="120" w:after="60"/>
        <w:ind w:left="0"/>
      </w:pPr>
      <w:r>
        <w:rPr>
          <w:b/>
          <w:color w:val="1F4E79"/>
          <w:sz w:val="22"/>
        </w:rPr>
        <w:t xml:space="preserve">  Scenario S032</w:t>
      </w:r>
    </w:p>
    <w:p>
      <w:pPr>
        <w:spacing w:before="20" w:after="20"/>
      </w:pPr>
      <w:r>
        <w:rPr>
          <w:b/>
          <w:color w:val="1F4E79"/>
          <w:sz w:val="19"/>
        </w:rPr>
        <w:t xml:space="preserve">Agent:  </w:t>
      </w:r>
      <w:r>
        <w:rPr>
          <w:sz w:val="19"/>
        </w:rPr>
        <w:t>(No agent selected)</w:t>
      </w:r>
    </w:p>
    <w:p>
      <w:pPr>
        <w:spacing w:before="20" w:after="20"/>
      </w:pPr>
      <w:r>
        <w:rPr>
          <w:b/>
          <w:color w:val="1F4E79"/>
          <w:sz w:val="19"/>
        </w:rPr>
        <w:t xml:space="preserve">Agent class:  </w:t>
      </w:r>
      <w:r>
        <w:rPr>
          <w:sz w:val="19"/>
        </w:rPr>
        <w:t>—</w:t>
      </w:r>
    </w:p>
    <w:p>
      <w:pPr>
        <w:spacing w:before="20" w:after="20"/>
      </w:pPr>
      <w:r>
        <w:rPr>
          <w:b/>
          <w:color w:val="1F4E79"/>
          <w:sz w:val="19"/>
        </w:rPr>
        <w:t xml:space="preserve">RT site:  </w:t>
      </w:r>
      <w:r>
        <w:rPr>
          <w:sz w:val="19"/>
        </w:rPr>
        <w:t>Lung — Peripheral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In the RT Interact app, select the RT site and timing shown but leave the agent field empty. Assess how the app handles this incomplete input.</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S033</w:t>
      </w:r>
    </w:p>
    <w:p>
      <w:pPr>
        <w:spacing w:before="20" w:after="20"/>
      </w:pPr>
      <w:r>
        <w:rPr>
          <w:b/>
          <w:color w:val="1F4E79"/>
          <w:sz w:val="19"/>
        </w:rPr>
        <w:t xml:space="preserve">Agent:  </w:t>
      </w:r>
      <w:r>
        <w:rPr>
          <w:sz w:val="19"/>
        </w:rPr>
        <w:t>Gemcitabine</w:t>
      </w:r>
    </w:p>
    <w:p>
      <w:pPr>
        <w:spacing w:before="20" w:after="20"/>
      </w:pPr>
      <w:r>
        <w:rPr>
          <w:b/>
          <w:color w:val="1F4E79"/>
          <w:sz w:val="19"/>
        </w:rPr>
        <w:t xml:space="preserve">Agent class:  </w:t>
      </w:r>
      <w:r>
        <w:rPr>
          <w:sz w:val="19"/>
        </w:rPr>
        <w:t>Cytotoxic chemotherapy — antimetabolite / gemcitabine</w:t>
      </w:r>
    </w:p>
    <w:p>
      <w:pPr>
        <w:spacing w:before="20" w:after="20"/>
      </w:pPr>
      <w:r>
        <w:rPr>
          <w:b/>
          <w:color w:val="1F4E79"/>
          <w:sz w:val="19"/>
        </w:rPr>
        <w:t xml:space="preserve">RT site:  </w:t>
      </w:r>
      <w:r>
        <w:rPr>
          <w:sz w:val="19"/>
        </w:rPr>
        <w:t>(No RT site selected)</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In the RT Interact app, select the agent shown but leave the RT site unselected. Assess how the app handles this incomplete input.</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S034</w:t>
      </w:r>
    </w:p>
    <w:p>
      <w:pPr>
        <w:spacing w:before="20" w:after="20"/>
      </w:pPr>
      <w:r>
        <w:rPr>
          <w:b/>
          <w:color w:val="1F4E79"/>
          <w:sz w:val="19"/>
        </w:rPr>
        <w:t xml:space="preserve">Agent:  </w:t>
      </w:r>
      <w:r>
        <w:rPr>
          <w:sz w:val="19"/>
        </w:rPr>
        <w:t>Nivolumab</w:t>
      </w:r>
    </w:p>
    <w:p>
      <w:pPr>
        <w:spacing w:before="20" w:after="20"/>
      </w:pPr>
      <w:r>
        <w:rPr>
          <w:b/>
          <w:color w:val="1F4E79"/>
          <w:sz w:val="19"/>
        </w:rPr>
        <w:t xml:space="preserve">Agent class:  </w:t>
      </w:r>
      <w:r>
        <w:rPr>
          <w:sz w:val="19"/>
        </w:rPr>
        <w:t>Immune checkpoint inhibitor — anti-PD-1</w:t>
      </w:r>
    </w:p>
    <w:p>
      <w:pPr>
        <w:spacing w:before="20" w:after="20"/>
      </w:pPr>
      <w:r>
        <w:rPr>
          <w:b/>
          <w:color w:val="1F4E79"/>
          <w:sz w:val="19"/>
        </w:rPr>
        <w:t xml:space="preserve">RT site:  </w:t>
      </w:r>
      <w:r>
        <w:rPr>
          <w:sz w:val="19"/>
        </w:rPr>
        <w:t>Lung — Peripheral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(Not selected)</w:t>
      </w:r>
    </w:p>
    <w:p>
      <w:pPr>
        <w:spacing w:before="80" w:after="40"/>
      </w:pPr>
      <w:r>
        <w:rPr>
          <w:b/>
          <w:color w:val="1F4E79"/>
          <w:sz w:val="19"/>
        </w:rPr>
        <w:t xml:space="preserve">Task:  </w:t>
      </w:r>
      <w:r>
        <w:rPr>
          <w:i/>
          <w:sz w:val="19"/>
        </w:rPr>
        <w:t>In the RT Interact app, select the agent, RT site, and timing shown but leave the fractionation field unselected. Assess whether the app correctly prompts for the missing field.</w:t>
      </w:r>
    </w:p>
    <w:p>
      <w:pPr>
        <w:pBdr>
          <w:bottom w:val="single" w:sz="4" w:space="1" w:color="CCCCCC"/>
        </w:pBdr>
        <w:spacing w:before="120" w:after="120"/>
      </w:pPr>
    </w:p>
    <w:p>
      <w:pPr>
        <w:pStyle w:val="Heading2"/>
      </w:pPr>
      <w:r>
        <w:t>Multi-agent scenarios  (S035–S036)</w:t>
      </w:r>
    </w:p>
    <w:p>
      <w:pPr>
        <w:shd w:val="clear" w:color="auto" w:fill="D6E4F0"/>
        <w:spacing w:before="120" w:after="60"/>
        <w:ind w:left="0"/>
      </w:pPr>
      <w:r>
        <w:rPr>
          <w:b/>
          <w:color w:val="1F4E79"/>
          <w:sz w:val="22"/>
        </w:rPr>
        <w:t xml:space="preserve">  Scenario S035</w:t>
      </w:r>
    </w:p>
    <w:p>
      <w:pPr>
        <w:spacing w:before="20" w:after="20"/>
      </w:pPr>
      <w:r>
        <w:rPr>
          <w:b/>
          <w:color w:val="1F4E79"/>
          <w:sz w:val="19"/>
        </w:rPr>
        <w:t xml:space="preserve">Agent:  </w:t>
      </w:r>
      <w:r>
        <w:rPr>
          <w:sz w:val="19"/>
        </w:rPr>
        <w:t>Ipilimumab + Nivolumab</w:t>
      </w:r>
    </w:p>
    <w:p>
      <w:pPr>
        <w:spacing w:before="20" w:after="20"/>
      </w:pPr>
      <w:r>
        <w:rPr>
          <w:b/>
          <w:color w:val="1F4E79"/>
          <w:sz w:val="19"/>
        </w:rPr>
        <w:t xml:space="preserve">Agent class:  </w:t>
      </w:r>
      <w:r>
        <w:rPr>
          <w:sz w:val="19"/>
        </w:rPr>
        <w:t>Immune checkpoint inhibitor — dual ICI (anti-CTLA-4 + anti-PD-1)</w:t>
      </w:r>
    </w:p>
    <w:p>
      <w:pPr>
        <w:spacing w:before="20" w:after="20"/>
      </w:pPr>
      <w:r>
        <w:rPr>
          <w:b/>
          <w:color w:val="1F4E79"/>
          <w:sz w:val="19"/>
        </w:rPr>
        <w:t xml:space="preserve">RT site:  </w:t>
      </w:r>
      <w:r>
        <w:rPr>
          <w:sz w:val="19"/>
        </w:rPr>
        <w:t>Lung — Peripheral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Select all agents listed and enter these inputs into RT Interact. Assess the output for clinical appropriateness, noting that combination-specific effects between agents may not be fully modelled.</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S036</w:t>
      </w:r>
    </w:p>
    <w:p>
      <w:pPr>
        <w:spacing w:before="20" w:after="20"/>
      </w:pPr>
      <w:r>
        <w:rPr>
          <w:b/>
          <w:color w:val="1F4E79"/>
          <w:sz w:val="19"/>
        </w:rPr>
        <w:t xml:space="preserve">Agent:  </w:t>
      </w:r>
      <w:r>
        <w:rPr>
          <w:sz w:val="19"/>
        </w:rPr>
        <w:t>Carboplatin + Paclitaxel</w:t>
      </w:r>
    </w:p>
    <w:p>
      <w:pPr>
        <w:spacing w:before="20" w:after="20"/>
      </w:pPr>
      <w:r>
        <w:rPr>
          <w:b/>
          <w:color w:val="1F4E79"/>
          <w:sz w:val="19"/>
        </w:rPr>
        <w:t xml:space="preserve">Agent class:  </w:t>
      </w:r>
      <w:r>
        <w:rPr>
          <w:sz w:val="19"/>
        </w:rPr>
        <w:t>Cytotoxic chemotherapy — platinum + taxane doublet</w:t>
      </w:r>
    </w:p>
    <w:p>
      <w:pPr>
        <w:spacing w:before="20" w:after="20"/>
      </w:pPr>
      <w:r>
        <w:rPr>
          <w:b/>
          <w:color w:val="1F4E79"/>
          <w:sz w:val="19"/>
        </w:rPr>
        <w:t xml:space="preserve">RT site:  </w:t>
      </w:r>
      <w:r>
        <w:rPr>
          <w:sz w:val="19"/>
        </w:rPr>
        <w:t>Lung — Central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Select all agents listed and enter these inputs into RT Interact. Assess the output for clinical appropriateness, noting that combination-specific effects between agents may not be fully modelled.</w:t>
      </w:r>
    </w:p>
    <w:p>
      <w:pPr>
        <w:pBdr>
          <w:bottom w:val="single" w:sz="4" w:space="1" w:color="CCCCCC"/>
        </w:pBdr>
        <w:spacing w:before="120" w:after="120"/>
      </w:pPr>
    </w:p>
    <w:p>
      <w:pPr>
        <w:pStyle w:val="Heading2"/>
      </w:pPr>
      <w:r>
        <w:t>Timing-sensitive scenarios  (S037–S039)</w:t>
      </w:r>
    </w:p>
    <w:p>
      <w:pPr>
        <w:shd w:val="clear" w:color="auto" w:fill="D6E4F0"/>
        <w:spacing w:before="120" w:after="60"/>
        <w:ind w:left="0"/>
      </w:pPr>
      <w:r>
        <w:rPr>
          <w:b/>
          <w:color w:val="1F4E79"/>
          <w:sz w:val="22"/>
        </w:rPr>
        <w:t xml:space="preserve">  Scenario S037</w:t>
      </w:r>
    </w:p>
    <w:p>
      <w:pPr>
        <w:spacing w:before="20" w:after="20"/>
      </w:pPr>
      <w:r>
        <w:rPr>
          <w:b/>
          <w:color w:val="1F4E79"/>
          <w:sz w:val="19"/>
        </w:rPr>
        <w:t xml:space="preserve">Agent:  </w:t>
      </w:r>
      <w:r>
        <w:rPr>
          <w:sz w:val="19"/>
        </w:rPr>
        <w:t>Bevacizumab</w:t>
      </w:r>
    </w:p>
    <w:p>
      <w:pPr>
        <w:spacing w:before="20" w:after="20"/>
      </w:pPr>
      <w:r>
        <w:rPr>
          <w:b/>
          <w:color w:val="1F4E79"/>
          <w:sz w:val="19"/>
        </w:rPr>
        <w:t xml:space="preserve">Agent class:  </w:t>
      </w:r>
      <w:r>
        <w:rPr>
          <w:sz w:val="19"/>
        </w:rPr>
        <w:t>Anti-VEGF monoclonal antibody</w:t>
      </w:r>
    </w:p>
    <w:p>
      <w:pPr>
        <w:spacing w:before="20" w:after="20"/>
      </w:pPr>
      <w:r>
        <w:rPr>
          <w:b/>
          <w:color w:val="1F4E79"/>
          <w:sz w:val="19"/>
        </w:rPr>
        <w:t xml:space="preserve">RT site:  </w:t>
      </w:r>
      <w:r>
        <w:rPr>
          <w:sz w:val="19"/>
        </w:rPr>
        <w:t>Upper abdomen — Liver</w:t>
      </w:r>
    </w:p>
    <w:p>
      <w:pPr>
        <w:spacing w:before="20" w:after="20"/>
      </w:pPr>
      <w:r>
        <w:rPr>
          <w:b/>
          <w:color w:val="1F4E79"/>
          <w:sz w:val="19"/>
        </w:rPr>
        <w:t xml:space="preserve">Timing:  </w:t>
      </w:r>
      <w:r>
        <w:rPr>
          <w:sz w:val="19"/>
        </w:rPr>
        <w:t>Planned after RT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Enter these inputs into RT Interact, paying particular attention to whether the timing and interval are handled appropriately and whether residual risk from recent therapy is reflected.</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S038</w:t>
      </w:r>
    </w:p>
    <w:p>
      <w:pPr>
        <w:spacing w:before="20" w:after="20"/>
      </w:pPr>
      <w:r>
        <w:rPr>
          <w:b/>
          <w:color w:val="1F4E79"/>
          <w:sz w:val="19"/>
        </w:rPr>
        <w:t xml:space="preserve">Agent:  </w:t>
      </w:r>
      <w:r>
        <w:rPr>
          <w:sz w:val="19"/>
        </w:rPr>
        <w:t>Capecitabine</w:t>
      </w:r>
    </w:p>
    <w:p>
      <w:pPr>
        <w:spacing w:before="20" w:after="20"/>
      </w:pPr>
      <w:r>
        <w:rPr>
          <w:b/>
          <w:color w:val="1F4E79"/>
          <w:sz w:val="19"/>
        </w:rPr>
        <w:t xml:space="preserve">Agent class:  </w:t>
      </w:r>
      <w:r>
        <w:rPr>
          <w:sz w:val="19"/>
        </w:rPr>
        <w:t>Cytotoxic chemotherapy — fluoropyrimidine</w:t>
      </w:r>
    </w:p>
    <w:p>
      <w:pPr>
        <w:spacing w:before="20" w:after="20"/>
      </w:pPr>
      <w:r>
        <w:rPr>
          <w:b/>
          <w:color w:val="1F4E79"/>
          <w:sz w:val="19"/>
        </w:rPr>
        <w:t xml:space="preserve">RT site:  </w:t>
      </w:r>
      <w:r>
        <w:rPr>
          <w:sz w:val="19"/>
        </w:rPr>
        <w:t>Pelvis — Rectal</w:t>
      </w:r>
    </w:p>
    <w:p>
      <w:pPr>
        <w:spacing w:before="20" w:after="20"/>
      </w:pPr>
      <w:r>
        <w:rPr>
          <w:b/>
          <w:color w:val="1F4E79"/>
          <w:sz w:val="19"/>
        </w:rPr>
        <w:t xml:space="preserve">Timing:  </w:t>
      </w:r>
      <w:r>
        <w:rPr>
          <w:sz w:val="19"/>
        </w:rPr>
        <w:t>Recent before RT</w:t>
      </w:r>
    </w:p>
    <w:p>
      <w:pPr>
        <w:spacing w:before="20" w:after="20"/>
      </w:pPr>
      <w:r>
        <w:rPr>
          <w:b/>
          <w:color w:val="1F4E79"/>
          <w:sz w:val="19"/>
        </w:rPr>
        <w:t xml:space="preserve">Timing interval:  </w:t>
      </w:r>
      <w:r>
        <w:rPr>
          <w:sz w:val="19"/>
        </w:rPr>
        <w:t>14 days</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paying particular attention to whether the timing and interval are handled appropriately and whether residual risk from recent therapy is reflected.</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S039</w:t>
      </w:r>
    </w:p>
    <w:p>
      <w:pPr>
        <w:spacing w:before="20" w:after="20"/>
      </w:pPr>
      <w:r>
        <w:rPr>
          <w:b/>
          <w:color w:val="1F4E79"/>
          <w:sz w:val="19"/>
        </w:rPr>
        <w:t xml:space="preserve">Agent:  </w:t>
      </w:r>
      <w:r>
        <w:rPr>
          <w:sz w:val="19"/>
        </w:rPr>
        <w:t>Doxorubicin</w:t>
      </w:r>
    </w:p>
    <w:p>
      <w:pPr>
        <w:spacing w:before="20" w:after="20"/>
      </w:pPr>
      <w:r>
        <w:rPr>
          <w:b/>
          <w:color w:val="1F4E79"/>
          <w:sz w:val="19"/>
        </w:rPr>
        <w:t xml:space="preserve">Agent class:  </w:t>
      </w:r>
      <w:r>
        <w:rPr>
          <w:sz w:val="19"/>
        </w:rPr>
        <w:t>Cytotoxic chemotherapy — anthracycline (radiation recall agent)</w:t>
      </w:r>
    </w:p>
    <w:p>
      <w:pPr>
        <w:spacing w:before="20" w:after="20"/>
      </w:pPr>
      <w:r>
        <w:rPr>
          <w:b/>
          <w:color w:val="1F4E79"/>
          <w:sz w:val="19"/>
        </w:rPr>
        <w:t xml:space="preserve">RT site:  </w:t>
      </w:r>
      <w:r>
        <w:rPr>
          <w:sz w:val="19"/>
        </w:rPr>
        <w:t>Breast — Chest wall</w:t>
      </w:r>
    </w:p>
    <w:p>
      <w:pPr>
        <w:spacing w:before="20" w:after="20"/>
      </w:pPr>
      <w:r>
        <w:rPr>
          <w:b/>
          <w:color w:val="1F4E79"/>
          <w:sz w:val="19"/>
        </w:rPr>
        <w:t xml:space="preserve">Timing:  </w:t>
      </w:r>
      <w:r>
        <w:rPr>
          <w:sz w:val="19"/>
        </w:rPr>
        <w:t>Recent after RT</w:t>
      </w:r>
    </w:p>
    <w:p>
      <w:pPr>
        <w:spacing w:before="20" w:after="20"/>
      </w:pPr>
      <w:r>
        <w:rPr>
          <w:b/>
          <w:color w:val="1F4E79"/>
          <w:sz w:val="19"/>
        </w:rPr>
        <w:t xml:space="preserve">Timing interval:  </w:t>
      </w:r>
      <w:r>
        <w:rPr>
          <w:sz w:val="19"/>
        </w:rPr>
        <w:t>21 days</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paying particular attention to whether the timing and interval are handled appropriately and whether residual risk from recent therapy is reflected.</w:t>
      </w:r>
    </w:p>
    <w:p>
      <w:pPr>
        <w:pBdr>
          <w:bottom w:val="single" w:sz="4" w:space="1" w:color="CCCCCC"/>
        </w:pBdr>
        <w:spacing w:before="120" w:after="120"/>
      </w:pPr>
    </w:p>
    <w:p>
      <w:pPr>
        <w:pStyle w:val="Heading2"/>
      </w:pPr>
      <w:r>
        <w:t>Fractionation-sensitive scenarios  (S040–S041)</w:t>
      </w:r>
    </w:p>
    <w:p>
      <w:pPr>
        <w:shd w:val="clear" w:color="auto" w:fill="D6E4F0"/>
        <w:spacing w:before="120" w:after="60"/>
        <w:ind w:left="0"/>
      </w:pPr>
      <w:r>
        <w:rPr>
          <w:b/>
          <w:color w:val="1F4E79"/>
          <w:sz w:val="22"/>
        </w:rPr>
        <w:t xml:space="preserve">  Scenario S040</w:t>
      </w:r>
    </w:p>
    <w:p>
      <w:pPr>
        <w:spacing w:before="20" w:after="20"/>
      </w:pPr>
      <w:r>
        <w:rPr>
          <w:b/>
          <w:color w:val="1F4E79"/>
          <w:sz w:val="19"/>
        </w:rPr>
        <w:t xml:space="preserve">Agent:  </w:t>
      </w:r>
      <w:r>
        <w:rPr>
          <w:sz w:val="19"/>
        </w:rPr>
        <w:t>Nivolumab</w:t>
      </w:r>
    </w:p>
    <w:p>
      <w:pPr>
        <w:spacing w:before="20" w:after="20"/>
      </w:pPr>
      <w:r>
        <w:rPr>
          <w:b/>
          <w:color w:val="1F4E79"/>
          <w:sz w:val="19"/>
        </w:rPr>
        <w:t xml:space="preserve">Agent class:  </w:t>
      </w:r>
      <w:r>
        <w:rPr>
          <w:sz w:val="19"/>
        </w:rPr>
        <w:t>Immune checkpoint inhibitor — anti-PD-1</w:t>
      </w:r>
    </w:p>
    <w:p>
      <w:pPr>
        <w:spacing w:before="20" w:after="20"/>
      </w:pPr>
      <w:r>
        <w:rPr>
          <w:b/>
          <w:color w:val="1F4E79"/>
          <w:sz w:val="19"/>
        </w:rPr>
        <w:t xml:space="preserve">RT site:  </w:t>
      </w:r>
      <w:r>
        <w:rPr>
          <w:sz w:val="19"/>
        </w:rPr>
        <w:t>Lung — Peripheral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Enter these inputs into RT Interact and assess whether the fractionation category is appropriately reflected in the alert level and toxicity domains.</w:t>
      </w:r>
    </w:p>
    <w:p>
      <w:pPr>
        <w:pBdr>
          <w:bottom w:val="single" w:sz="4" w:space="1" w:color="CCCCCC"/>
        </w:pBdr>
        <w:spacing w:before="120" w:after="120"/>
      </w:pPr>
    </w:p>
    <w:p>
      <w:pPr>
        <w:shd w:val="clear" w:color="auto" w:fill="D6E4F0"/>
        <w:spacing w:before="120" w:after="60"/>
        <w:ind w:left="0"/>
      </w:pPr>
      <w:r>
        <w:rPr>
          <w:b/>
          <w:color w:val="1F4E79"/>
          <w:sz w:val="22"/>
        </w:rPr>
        <w:t xml:space="preserve">  Scenario S041</w:t>
      </w:r>
    </w:p>
    <w:p>
      <w:pPr>
        <w:spacing w:before="20" w:after="20"/>
      </w:pPr>
      <w:r>
        <w:rPr>
          <w:b/>
          <w:color w:val="1F4E79"/>
          <w:sz w:val="19"/>
        </w:rPr>
        <w:t xml:space="preserve">Agent:  </w:t>
      </w:r>
      <w:r>
        <w:rPr>
          <w:sz w:val="19"/>
        </w:rPr>
        <w:t>Palbociclib</w:t>
      </w:r>
    </w:p>
    <w:p>
      <w:pPr>
        <w:spacing w:before="20" w:after="20"/>
      </w:pPr>
      <w:r>
        <w:rPr>
          <w:b/>
          <w:color w:val="1F4E79"/>
          <w:sz w:val="19"/>
        </w:rPr>
        <w:t xml:space="preserve">Agent class:  </w:t>
      </w:r>
      <w:r>
        <w:rPr>
          <w:sz w:val="19"/>
        </w:rPr>
        <w:t>CDK4/6 inhibitor</w:t>
      </w:r>
    </w:p>
    <w:p>
      <w:pPr>
        <w:spacing w:before="20" w:after="20"/>
      </w:pPr>
      <w:r>
        <w:rPr>
          <w:b/>
          <w:color w:val="1F4E79"/>
          <w:sz w:val="19"/>
        </w:rPr>
        <w:t xml:space="preserve">RT site:  </w:t>
      </w:r>
      <w:r>
        <w:rPr>
          <w:sz w:val="19"/>
        </w:rPr>
        <w:t>Pelvis — Rectal</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SABR/SBRT</w:t>
      </w:r>
    </w:p>
    <w:p>
      <w:pPr>
        <w:spacing w:before="80" w:after="40"/>
      </w:pPr>
      <w:r>
        <w:rPr>
          <w:b/>
          <w:color w:val="1F4E79"/>
          <w:sz w:val="19"/>
        </w:rPr>
        <w:t xml:space="preserve">Task:  </w:t>
      </w:r>
      <w:r>
        <w:rPr>
          <w:i/>
          <w:sz w:val="19"/>
        </w:rPr>
        <w:t>Enter these inputs into RT Interact and assess whether the fractionation category is appropriately reflected in the alert level and toxicity domains.</w:t>
      </w:r>
    </w:p>
    <w:p>
      <w:pPr>
        <w:pBdr>
          <w:bottom w:val="single" w:sz="4" w:space="1" w:color="CCCCCC"/>
        </w:pBdr>
        <w:spacing w:before="120" w:after="120"/>
      </w:pPr>
    </w:p>
    <w:p>
      <w:pPr>
        <w:pStyle w:val="Heading2"/>
      </w:pPr>
      <w:r>
        <w:t>Site-specific interaction  (S042)</w:t>
      </w:r>
    </w:p>
    <w:p>
      <w:pPr>
        <w:shd w:val="clear" w:color="auto" w:fill="D6E4F0"/>
        <w:spacing w:before="120" w:after="60"/>
        <w:ind w:left="0"/>
      </w:pPr>
      <w:r>
        <w:rPr>
          <w:b/>
          <w:color w:val="1F4E79"/>
          <w:sz w:val="22"/>
        </w:rPr>
        <w:t xml:space="preserve">  Scenario S042</w:t>
      </w:r>
    </w:p>
    <w:p>
      <w:pPr>
        <w:spacing w:before="20" w:after="20"/>
      </w:pPr>
      <w:r>
        <w:rPr>
          <w:b/>
          <w:color w:val="1F4E79"/>
          <w:sz w:val="19"/>
        </w:rPr>
        <w:t xml:space="preserve">Agent:  </w:t>
      </w:r>
      <w:r>
        <w:rPr>
          <w:sz w:val="19"/>
        </w:rPr>
        <w:t>Trastuzumab</w:t>
      </w:r>
    </w:p>
    <w:p>
      <w:pPr>
        <w:spacing w:before="20" w:after="20"/>
      </w:pPr>
      <w:r>
        <w:rPr>
          <w:b/>
          <w:color w:val="1F4E79"/>
          <w:sz w:val="19"/>
        </w:rPr>
        <w:t xml:space="preserve">Agent class:  </w:t>
      </w:r>
      <w:r>
        <w:rPr>
          <w:sz w:val="19"/>
        </w:rPr>
        <w:t>HER2-directed monoclonal antibody (non-ADC)</w:t>
      </w:r>
    </w:p>
    <w:p>
      <w:pPr>
        <w:spacing w:before="20" w:after="20"/>
      </w:pPr>
      <w:r>
        <w:rPr>
          <w:b/>
          <w:color w:val="1F4E79"/>
          <w:sz w:val="19"/>
        </w:rPr>
        <w:t xml:space="preserve">RT site:  </w:t>
      </w:r>
      <w:r>
        <w:rPr>
          <w:sz w:val="19"/>
        </w:rPr>
        <w:t>Breast — Breast/chest wall + regional nodes</w:t>
      </w:r>
    </w:p>
    <w:p>
      <w:pPr>
        <w:spacing w:before="20" w:after="20"/>
      </w:pPr>
      <w:r>
        <w:rPr>
          <w:b/>
          <w:color w:val="1F4E79"/>
          <w:sz w:val="19"/>
        </w:rPr>
        <w:t xml:space="preserve">Timing:  </w:t>
      </w:r>
      <w:r>
        <w:rPr>
          <w:sz w:val="19"/>
        </w:rPr>
        <w:t>Concurrent</w:t>
      </w:r>
    </w:p>
    <w:p>
      <w:pPr>
        <w:spacing w:before="20" w:after="20"/>
      </w:pPr>
      <w:r>
        <w:rPr>
          <w:b/>
          <w:color w:val="1F4E79"/>
          <w:sz w:val="19"/>
        </w:rPr>
        <w:t xml:space="preserve">Fractionation:  </w:t>
      </w:r>
      <w:r>
        <w:rPr>
          <w:sz w:val="19"/>
        </w:rPr>
        <w:t>Conventional fractionation</w:t>
      </w:r>
    </w:p>
    <w:p>
      <w:pPr>
        <w:spacing w:before="80" w:after="40"/>
      </w:pPr>
      <w:r>
        <w:rPr>
          <w:b/>
          <w:color w:val="1F4E79"/>
          <w:sz w:val="19"/>
        </w:rPr>
        <w:t xml:space="preserve">Task:  </w:t>
      </w:r>
      <w:r>
        <w:rPr>
          <w:i/>
          <w:sz w:val="19"/>
        </w:rPr>
        <w:t>Enter these inputs into RT Interact and assess whether the app output, including agent classification and toxicity domains, is clinically appropriate for this agent-site combination.</w:t>
      </w:r>
    </w:p>
    <w:p>
      <w:pPr>
        <w:pBdr>
          <w:bottom w:val="single" w:sz="4" w:space="1" w:color="CCCCCC"/>
        </w:pBdr>
        <w:spacing w:before="120" w:after="120"/>
      </w:pPr>
    </w:p>
    <w:p>
      <w:pPr>
        <w:pStyle w:val="Heading1"/>
      </w:pPr>
      <w:r>
        <w:t>7. Known Limitations</w:t>
      </w:r>
    </w:p>
    <w:p>
      <w:r>
        <w:t>The following limitations apply to the current prototype and are relevant to your content assessment.</w:t>
      </w:r>
    </w:p>
    <w:p>
      <w:pPr>
        <w:pStyle w:val="Heading2"/>
      </w:pPr>
      <w:r>
        <w:t>Regulatory and Approval Status</w:t>
      </w:r>
    </w:p>
    <w:p>
      <w:pPr>
        <w:pStyle w:val="ListBullet"/>
        <w:spacing w:after="40"/>
      </w:pPr>
      <w:r>
        <w:rPr>
          <w:sz w:val="20"/>
        </w:rPr>
        <w:t>Not approved or cleared for clinical reliance in any jurisdiction.</w:t>
      </w:r>
    </w:p>
    <w:p>
      <w:pPr>
        <w:pStyle w:val="ListBullet"/>
        <w:spacing w:after="40"/>
      </w:pPr>
      <w:r>
        <w:rPr>
          <w:sz w:val="20"/>
        </w:rPr>
        <w:t>Not a medical device as currently constituted; no TGA, FDA, or CE process has been initiated.</w:t>
      </w:r>
    </w:p>
    <w:p>
      <w:pPr>
        <w:pStyle w:val="ListBullet"/>
        <w:spacing w:after="40"/>
      </w:pPr>
      <w:r>
        <w:rPr>
          <w:sz w:val="20"/>
        </w:rPr>
        <w:t>Intended solely for expert content review and quality improvement research.</w:t>
      </w:r>
    </w:p>
    <w:p>
      <w:pPr>
        <w:pStyle w:val="Heading2"/>
      </w:pPr>
      <w:r>
        <w:t>Content Verification Incomplete</w:t>
      </w:r>
    </w:p>
    <w:p>
      <w:pPr>
        <w:pStyle w:val="ListBullet"/>
        <w:spacing w:after="40"/>
      </w:pPr>
      <w:r>
        <w:rPr>
          <w:sz w:val="20"/>
        </w:rPr>
        <w:t>ARTG/PBS verification incomplete: agent names, classifications, and availability have not been fully verified.</w:t>
      </w:r>
    </w:p>
    <w:p>
      <w:pPr>
        <w:pStyle w:val="ListBullet"/>
        <w:spacing w:after="40"/>
      </w:pPr>
      <w:r>
        <w:rPr>
          <w:sz w:val="20"/>
        </w:rPr>
        <w:t>eviQ verification incomplete: rules have not been cross-checked against current eviQ cancer treatment protocols.</w:t>
      </w:r>
    </w:p>
    <w:p>
      <w:pPr>
        <w:pStyle w:val="ListBullet"/>
        <w:spacing w:after="40"/>
      </w:pPr>
      <w:r>
        <w:rPr>
          <w:sz w:val="20"/>
        </w:rPr>
        <w:t>Expert consensus validation incomplete: alert levels, toxicity domains, and rationale text have not undergone prior formal consensus validation.</w:t>
      </w:r>
    </w:p>
    <w:p>
      <w:pPr>
        <w:pStyle w:val="Heading2"/>
      </w:pPr>
      <w:r>
        <w:t>Clinical Scope Limitations</w:t>
      </w:r>
    </w:p>
    <w:p>
      <w:pPr>
        <w:pStyle w:val="ListBullet"/>
        <w:spacing w:after="40"/>
      </w:pPr>
      <w:r>
        <w:rPr>
          <w:sz w:val="20"/>
        </w:rPr>
        <w:t>No patient-specific factors: renal/hepatic function, performance status, comorbidities, and prior toxicity are not modelled.</w:t>
      </w:r>
    </w:p>
    <w:p>
      <w:pPr>
        <w:pStyle w:val="ListBullet"/>
        <w:spacing w:after="40"/>
      </w:pPr>
      <w:r>
        <w:rPr>
          <w:sz w:val="20"/>
        </w:rPr>
        <w:t>No prior RT or re-irradiation assessment.</w:t>
      </w:r>
    </w:p>
    <w:p>
      <w:pPr>
        <w:pStyle w:val="ListBullet"/>
        <w:spacing w:after="40"/>
      </w:pPr>
      <w:r>
        <w:rPr>
          <w:sz w:val="20"/>
        </w:rPr>
        <w:t>No exact dose or dose-constraint logic: alert levels are not tied to specific prescription doses or OAR constraints.</w:t>
      </w:r>
    </w:p>
    <w:p>
      <w:pPr>
        <w:pStyle w:val="ListBullet"/>
        <w:spacing w:after="40"/>
      </w:pPr>
      <w:r>
        <w:rPr>
          <w:sz w:val="20"/>
        </w:rPr>
        <w:t>No management recommendations (dose modifications, monitoring protocols, supportive care).</w:t>
      </w:r>
    </w:p>
    <w:p>
      <w:pPr>
        <w:pStyle w:val="ListBullet"/>
        <w:spacing w:after="40"/>
      </w:pPr>
      <w:r>
        <w:rPr>
          <w:sz w:val="20"/>
        </w:rPr>
        <w:t>Multi-agent combination effects not individually modelled in Phase 1.</w:t>
      </w:r>
    </w:p>
    <w:p>
      <w:pPr>
        <w:pStyle w:val="ListBullet"/>
        <w:spacing w:after="40"/>
      </w:pPr>
      <w:r>
        <w:rPr>
          <w:sz w:val="20"/>
        </w:rPr>
        <w:t>No disease-specific context: rules are not stratified by histology, stage, or intent.</w:t>
      </w:r>
    </w:p>
    <w:p>
      <w:pPr>
        <w:pStyle w:val="Heading2"/>
      </w:pPr>
      <w:r>
        <w:t>Technical Limitations</w:t>
      </w:r>
    </w:p>
    <w:p>
      <w:pPr>
        <w:pStyle w:val="ListBullet"/>
        <w:spacing w:after="40"/>
      </w:pPr>
      <w:r>
        <w:rPr>
          <w:sz w:val="20"/>
        </w:rPr>
        <w:t>Reporting backend is mock/local only; no data is transmitted or persisted.</w:t>
      </w:r>
    </w:p>
    <w:p>
      <w:pPr>
        <w:pStyle w:val="ListBullet"/>
        <w:spacing w:after="40"/>
      </w:pPr>
      <w:r>
        <w:rPr>
          <w:sz w:val="20"/>
        </w:rPr>
        <w:t>Agent list is not exhaustive; many agents are not yet included.</w:t>
      </w:r>
    </w:p>
    <w:p>
      <w:pPr>
        <w:pStyle w:val="ListBullet"/>
        <w:spacing w:after="40"/>
      </w:pPr>
      <w:r>
        <w:rPr>
          <w:sz w:val="20"/>
        </w:rPr>
        <w:t>Rule engine uses categorical logic only; continuous dose variables are not modelled.</w:t>
      </w:r>
    </w:p>
    <w:p>
      <w:pPr>
        <w:pStyle w:val="ListBullet"/>
        <w:spacing w:after="40"/>
      </w:pPr>
      <w:r>
        <w:rPr>
          <w:sz w:val="20"/>
        </w:rPr>
        <w:t>Evidence links may become outdated; external references were current at time of authorship.</w:t>
      </w:r>
    </w:p>
    <w:p>
      <w:pPr>
        <w:pStyle w:val="Heading2"/>
      </w:pPr>
      <w:r>
        <w:t>Data Privacy</w:t>
      </w:r>
    </w:p>
    <w:p>
      <w:pPr>
        <w:pStyle w:val="ListBullet"/>
        <w:spacing w:after="40"/>
      </w:pPr>
      <w:r>
        <w:rPr>
          <w:sz w:val="20"/>
        </w:rPr>
        <w:t>No patient information is collected, stored, or transmitted by the application.</w:t>
      </w:r>
    </w:p>
    <w:p>
      <w:pPr>
        <w:pStyle w:val="ListBullet"/>
        <w:spacing w:after="40"/>
      </w:pPr>
      <w:r>
        <w:rPr>
          <w:sz w:val="20"/>
        </w:rPr>
        <w:t>All queries and reports remain in the user's browser only.</w:t>
      </w:r>
    </w:p>
    <w:p>
      <w:pPr>
        <w:pStyle w:val="Heading1"/>
      </w:pPr>
      <w:r>
        <w:t>8. Contact and Feedback</w:t>
      </w:r>
    </w:p>
    <w:p>
      <w:r>
        <w:t>If you have questions about a scenario, the review process, or the prototype, please contact:</w:t>
      </w:r>
    </w:p>
    <w:p>
      <w:pPr>
        <w:spacing w:before="80" w:after="80"/>
        <w:ind w:left="576"/>
      </w:pPr>
      <w:r>
        <w:rPr>
          <w:i/>
        </w:rPr>
        <w:t>[PROJECT LEAD NAME]  ·  [EMAIL ADDRESS]  ·  [PHONE / PREFERRED CONTACT METHOD]</w:t>
      </w:r>
    </w:p>
    <w:p>
      <w:r>
        <w:t>Please complete all assigned scenarios before the review deadline communicated in your invitation. If you are unable to complete all scenarios, please notify the project lead as soon as possible.</w:t>
      </w:r>
    </w:p>
    <w:p/>
    <w:p>
      <w:pPr>
        <w:pBdr>
          <w:bottom w:val="single" w:sz="8" w:space="1" w:color="2E75B6"/>
        </w:pBdr>
      </w:pPr>
    </w:p>
    <w:p>
      <w:pPr>
        <w:spacing w:before="160"/>
        <w:jc w:val="center"/>
      </w:pPr>
      <w:r>
        <w:rPr>
          <w:i/>
          <w:color w:val="707070"/>
          <w:sz w:val="16"/>
        </w:rPr>
        <w:t>RT Interact Phase 1 — Expert Clinical Validation Pack  ·  June 2026</w:t>
        <w:br/>
        <w:t>Research/QI prototype — not for clinical use — not for external distribution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