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FEDA" w14:textId="77777777" w:rsidR="00936B46" w:rsidRDefault="00936B46" w:rsidP="00364CAB">
      <w:pPr>
        <w:spacing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Rational to design the study</w:t>
      </w:r>
    </w:p>
    <w:p w14:paraId="4D857899" w14:textId="77777777" w:rsidR="00A243B7" w:rsidRDefault="00A243B7" w:rsidP="00364CAB">
      <w:pPr>
        <w:spacing w:line="240" w:lineRule="auto"/>
        <w:jc w:val="both"/>
      </w:pPr>
    </w:p>
    <w:p w14:paraId="177C28BC" w14:textId="1C46BE78" w:rsidR="00936B46" w:rsidRPr="00936B46" w:rsidRDefault="00936B46" w:rsidP="00364CA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36B46">
        <w:rPr>
          <w:rFonts w:asciiTheme="majorBidi" w:hAnsiTheme="majorBidi" w:cstheme="majorBidi"/>
          <w:b/>
          <w:bCs/>
          <w:sz w:val="32"/>
          <w:szCs w:val="32"/>
        </w:rPr>
        <w:t>Induction agent:</w:t>
      </w:r>
    </w:p>
    <w:p w14:paraId="366CFDC4" w14:textId="77777777" w:rsidR="00936B46" w:rsidRPr="00936B46" w:rsidRDefault="00936B46" w:rsidP="00364CAB">
      <w:pPr>
        <w:pStyle w:val="ListParagraph"/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663AB3B" w14:textId="3700EBB4" w:rsidR="00936B46" w:rsidRPr="00936B46" w:rsidRDefault="00936B46" w:rsidP="00364CAB">
      <w:pPr>
        <w:pStyle w:val="ListParagraph"/>
        <w:numPr>
          <w:ilvl w:val="1"/>
          <w:numId w:val="2"/>
        </w:numPr>
        <w:spacing w:line="240" w:lineRule="auto"/>
        <w:ind w:left="630" w:hanging="5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36B46">
        <w:rPr>
          <w:rFonts w:asciiTheme="majorBidi" w:hAnsiTheme="majorBidi" w:cstheme="majorBidi"/>
          <w:b/>
          <w:bCs/>
          <w:sz w:val="28"/>
          <w:szCs w:val="28"/>
        </w:rPr>
        <w:t>Adjuvant-Induced Arthritis (AA) Model is the most suitable option for the following reasons:</w:t>
      </w:r>
    </w:p>
    <w:p w14:paraId="24378D5D" w14:textId="77777777" w:rsidR="00936B46" w:rsidRPr="00936B46" w:rsidRDefault="00936B46" w:rsidP="00364CAB">
      <w:pPr>
        <w:pStyle w:val="ListParagraph"/>
        <w:spacing w:line="240" w:lineRule="auto"/>
        <w:ind w:left="792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2E0D5445" w14:textId="56E9A8E6" w:rsidR="00936B46" w:rsidRPr="00936B46" w:rsidRDefault="00936B46" w:rsidP="00364CAB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36B46">
        <w:rPr>
          <w:rFonts w:asciiTheme="majorBidi" w:hAnsiTheme="majorBidi" w:cstheme="majorBidi"/>
          <w:sz w:val="28"/>
          <w:szCs w:val="28"/>
        </w:rPr>
        <w:t xml:space="preserve">Cheap </w:t>
      </w:r>
    </w:p>
    <w:p w14:paraId="55CBC68A" w14:textId="77777777" w:rsidR="00936B46" w:rsidRPr="00936B46" w:rsidRDefault="00936B46" w:rsidP="00364CAB">
      <w:pPr>
        <w:pStyle w:val="ListParagraph"/>
        <w:spacing w:line="240" w:lineRule="auto"/>
        <w:ind w:left="122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205F19BA" w14:textId="1A80E2D1" w:rsidR="00936B46" w:rsidRPr="00936B46" w:rsidRDefault="00936B46" w:rsidP="00364CAB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36B46">
        <w:rPr>
          <w:rFonts w:asciiTheme="majorBidi" w:hAnsiTheme="majorBidi" w:cstheme="majorBidi"/>
          <w:sz w:val="28"/>
          <w:szCs w:val="28"/>
          <w:u w:val="single"/>
        </w:rPr>
        <w:t>Rapid, highly reproducible</w:t>
      </w:r>
      <w:r w:rsidRPr="00936B46">
        <w:rPr>
          <w:rFonts w:asciiTheme="majorBidi" w:hAnsiTheme="majorBidi" w:cstheme="majorBidi"/>
          <w:sz w:val="28"/>
          <w:szCs w:val="28"/>
        </w:rPr>
        <w:t xml:space="preserve"> study focused squarely on </w:t>
      </w:r>
      <w:r w:rsidRPr="00936B46">
        <w:rPr>
          <w:rFonts w:asciiTheme="majorBidi" w:hAnsiTheme="majorBidi" w:cstheme="majorBidi"/>
          <w:sz w:val="28"/>
          <w:szCs w:val="28"/>
          <w:u w:val="single"/>
        </w:rPr>
        <w:t>demonstrating the anti-inflammatory synergy between PEA and prednisolone</w:t>
      </w:r>
      <w:r w:rsidRPr="00936B46">
        <w:rPr>
          <w:rFonts w:asciiTheme="majorBidi" w:hAnsiTheme="majorBidi" w:cstheme="majorBidi"/>
          <w:sz w:val="28"/>
          <w:szCs w:val="28"/>
        </w:rPr>
        <w:t xml:space="preserve">, the </w:t>
      </w:r>
      <w:r w:rsidRPr="00936B46">
        <w:rPr>
          <w:rFonts w:asciiTheme="majorBidi" w:hAnsiTheme="majorBidi" w:cstheme="majorBidi"/>
          <w:b/>
          <w:bCs/>
          <w:sz w:val="28"/>
          <w:szCs w:val="28"/>
        </w:rPr>
        <w:t>AA model is an excellent</w:t>
      </w:r>
      <w:r w:rsidRPr="00936B46">
        <w:rPr>
          <w:rFonts w:asciiTheme="majorBidi" w:hAnsiTheme="majorBidi" w:cstheme="majorBidi"/>
          <w:sz w:val="28"/>
          <w:szCs w:val="28"/>
        </w:rPr>
        <w:t xml:space="preserve"> choice due to its potent, innate-driven inflammation and direct precedent in steroid-sparing research. </w:t>
      </w:r>
      <w:r w:rsidRPr="00364CAB">
        <w:rPr>
          <w:rFonts w:asciiTheme="majorBidi" w:hAnsiTheme="majorBidi" w:cstheme="majorBidi"/>
          <w:b/>
          <w:bCs/>
          <w:sz w:val="28"/>
          <w:szCs w:val="28"/>
        </w:rPr>
        <w:t>While the</w:t>
      </w:r>
      <w:r w:rsidRPr="00936B46">
        <w:rPr>
          <w:rFonts w:asciiTheme="majorBidi" w:hAnsiTheme="majorBidi" w:cstheme="majorBidi"/>
          <w:sz w:val="28"/>
          <w:szCs w:val="28"/>
        </w:rPr>
        <w:t xml:space="preserve"> </w:t>
      </w:r>
      <w:r w:rsidRPr="00936B46">
        <w:rPr>
          <w:rFonts w:asciiTheme="majorBidi" w:hAnsiTheme="majorBidi" w:cstheme="majorBidi"/>
          <w:b/>
          <w:bCs/>
          <w:sz w:val="28"/>
          <w:szCs w:val="28"/>
        </w:rPr>
        <w:t>CIA model</w:t>
      </w:r>
      <w:r w:rsidRPr="00936B46">
        <w:rPr>
          <w:rFonts w:asciiTheme="majorBidi" w:hAnsiTheme="majorBidi" w:cstheme="majorBidi"/>
          <w:sz w:val="28"/>
          <w:szCs w:val="28"/>
        </w:rPr>
        <w:t xml:space="preserve"> investigates whether the </w:t>
      </w:r>
      <w:r w:rsidRPr="00936B46">
        <w:rPr>
          <w:rFonts w:asciiTheme="majorBidi" w:hAnsiTheme="majorBidi" w:cstheme="majorBidi"/>
          <w:sz w:val="28"/>
          <w:szCs w:val="28"/>
          <w:u w:val="single"/>
        </w:rPr>
        <w:t>PEA/prednisolone combination can modify the long-term autoimmune course of the disease and provide protection against chronic joint destruction</w:t>
      </w:r>
    </w:p>
    <w:p w14:paraId="5FBC17C5" w14:textId="78A22724" w:rsidR="00936B46" w:rsidRPr="00936B46" w:rsidRDefault="00936B46" w:rsidP="00364CAB">
      <w:pPr>
        <w:pStyle w:val="ListParagraph"/>
        <w:spacing w:line="240" w:lineRule="auto"/>
        <w:ind w:left="1224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EB68C3C" w14:textId="63D92B63" w:rsidR="00936B46" w:rsidRPr="00936B46" w:rsidRDefault="00936B46" w:rsidP="00364CAB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936B46">
        <w:rPr>
          <w:rFonts w:asciiTheme="majorBidi" w:hAnsiTheme="majorBidi" w:cstheme="majorBidi"/>
          <w:sz w:val="28"/>
          <w:szCs w:val="28"/>
        </w:rPr>
        <w:t>Adjuvant-Induced Arthritis represents a classical model particularly well-established in rat studies</w:t>
      </w:r>
      <w:r w:rsidR="00107733">
        <w:rPr>
          <w:rFonts w:asciiTheme="majorBidi" w:hAnsiTheme="majorBidi" w:cstheme="majorBidi"/>
          <w:sz w:val="28"/>
          <w:szCs w:val="28"/>
        </w:rPr>
        <w:t xml:space="preserve"> </w:t>
      </w:r>
      <w:r w:rsidRPr="00936B46">
        <w:rPr>
          <w:rFonts w:asciiTheme="majorBidi" w:hAnsiTheme="majorBidi" w:cstheme="majorBidi"/>
          <w:sz w:val="28"/>
          <w:szCs w:val="28"/>
        </w:rPr>
        <w:t xml:space="preserve">The induction protocol involves: </w:t>
      </w:r>
    </w:p>
    <w:p w14:paraId="26C796A0" w14:textId="77777777" w:rsidR="00936B46" w:rsidRPr="00936B46" w:rsidRDefault="00936B46" w:rsidP="00364CAB">
      <w:pPr>
        <w:pStyle w:val="ListParagraph"/>
        <w:spacing w:line="240" w:lineRule="auto"/>
        <w:ind w:left="1224"/>
        <w:jc w:val="both"/>
        <w:rPr>
          <w:rFonts w:asciiTheme="majorBidi" w:hAnsiTheme="majorBidi" w:cstheme="majorBidi"/>
          <w:sz w:val="28"/>
          <w:szCs w:val="28"/>
        </w:rPr>
      </w:pPr>
    </w:p>
    <w:p w14:paraId="12E543E3" w14:textId="22CC88B7" w:rsidR="00936B46" w:rsidRPr="00936B46" w:rsidRDefault="00936B46" w:rsidP="00364CAB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936B46">
        <w:rPr>
          <w:rFonts w:asciiTheme="majorBidi" w:hAnsiTheme="majorBidi" w:cstheme="majorBidi"/>
          <w:b/>
          <w:bCs/>
          <w:sz w:val="28"/>
          <w:szCs w:val="28"/>
        </w:rPr>
        <w:t>CFA Preparation</w:t>
      </w:r>
      <w:r w:rsidRPr="00936B46">
        <w:rPr>
          <w:rFonts w:asciiTheme="majorBidi" w:hAnsiTheme="majorBidi" w:cstheme="majorBidi"/>
          <w:sz w:val="28"/>
          <w:szCs w:val="28"/>
        </w:rPr>
        <w:t>: Complete Freund's Adjuvant containing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6B46">
        <w:rPr>
          <w:rFonts w:asciiTheme="majorBidi" w:hAnsiTheme="majorBidi" w:cstheme="majorBidi"/>
          <w:sz w:val="28"/>
          <w:szCs w:val="28"/>
        </w:rPr>
        <w:t xml:space="preserve">1mg/mL heat-killed mycobacteria </w:t>
      </w:r>
    </w:p>
    <w:p w14:paraId="348D6795" w14:textId="77777777" w:rsidR="00936B46" w:rsidRPr="00936B46" w:rsidRDefault="00936B46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64CDBA44" w14:textId="205D2A2F" w:rsidR="00936B46" w:rsidRPr="00936B46" w:rsidRDefault="00936B46" w:rsidP="00364CAB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936B46">
        <w:rPr>
          <w:rFonts w:asciiTheme="majorBidi" w:hAnsiTheme="majorBidi" w:cstheme="majorBidi"/>
          <w:sz w:val="28"/>
          <w:szCs w:val="28"/>
        </w:rPr>
        <w:t xml:space="preserve"> </w:t>
      </w:r>
      <w:r w:rsidRPr="00936B46">
        <w:rPr>
          <w:rFonts w:asciiTheme="majorBidi" w:hAnsiTheme="majorBidi" w:cstheme="majorBidi"/>
          <w:b/>
          <w:bCs/>
          <w:sz w:val="28"/>
          <w:szCs w:val="28"/>
        </w:rPr>
        <w:t>Administration:</w:t>
      </w:r>
      <w:r w:rsidRPr="00936B46">
        <w:rPr>
          <w:rFonts w:asciiTheme="majorBidi" w:hAnsiTheme="majorBidi" w:cstheme="majorBidi"/>
          <w:sz w:val="28"/>
          <w:szCs w:val="28"/>
        </w:rPr>
        <w:t xml:space="preserve"> Single intradermal injection</w:t>
      </w:r>
      <w:r w:rsidR="00107733">
        <w:rPr>
          <w:rFonts w:asciiTheme="majorBidi" w:hAnsiTheme="majorBidi" w:cstheme="majorBidi"/>
          <w:sz w:val="28"/>
          <w:szCs w:val="28"/>
        </w:rPr>
        <w:t xml:space="preserve"> 0.3ml</w:t>
      </w:r>
      <w:r w:rsidRPr="00936B46">
        <w:rPr>
          <w:rFonts w:asciiTheme="majorBidi" w:hAnsiTheme="majorBidi" w:cstheme="majorBidi"/>
          <w:sz w:val="28"/>
          <w:szCs w:val="28"/>
        </w:rPr>
        <w:t xml:space="preserve"> into the footpad</w:t>
      </w:r>
      <w:r w:rsidR="00107733">
        <w:rPr>
          <w:rFonts w:asciiTheme="majorBidi" w:hAnsiTheme="majorBidi" w:cstheme="majorBidi"/>
          <w:sz w:val="28"/>
          <w:szCs w:val="28"/>
        </w:rPr>
        <w:t>.</w:t>
      </w:r>
    </w:p>
    <w:p w14:paraId="3130EE56" w14:textId="77777777" w:rsidR="00936B46" w:rsidRPr="00936B46" w:rsidRDefault="00936B46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144A5D7E" w14:textId="44AE10F7" w:rsidR="00936B46" w:rsidRDefault="00936B46" w:rsidP="00364CAB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936B46">
        <w:rPr>
          <w:rFonts w:asciiTheme="majorBidi" w:hAnsiTheme="majorBidi" w:cstheme="majorBidi"/>
          <w:b/>
          <w:bCs/>
          <w:sz w:val="28"/>
          <w:szCs w:val="28"/>
        </w:rPr>
        <w:t xml:space="preserve">Disease Onset: </w:t>
      </w:r>
      <w:r w:rsidRPr="00936B46">
        <w:rPr>
          <w:rFonts w:asciiTheme="majorBidi" w:hAnsiTheme="majorBidi" w:cstheme="majorBidi"/>
          <w:sz w:val="28"/>
          <w:szCs w:val="28"/>
        </w:rPr>
        <w:t xml:space="preserve">Arthritis typically develops </w:t>
      </w:r>
      <w:r w:rsidRPr="00AC5653">
        <w:rPr>
          <w:rFonts w:asciiTheme="majorBidi" w:hAnsiTheme="majorBidi" w:cstheme="majorBidi"/>
          <w:b/>
          <w:bCs/>
          <w:sz w:val="28"/>
          <w:szCs w:val="28"/>
        </w:rPr>
        <w:t>within 10-14 days post-injection</w:t>
      </w:r>
      <w:r w:rsidRPr="00936B46">
        <w:rPr>
          <w:rFonts w:asciiTheme="majorBidi" w:hAnsiTheme="majorBidi" w:cstheme="majorBidi"/>
          <w:sz w:val="28"/>
          <w:szCs w:val="28"/>
        </w:rPr>
        <w:t xml:space="preserve"> The AA model demonstrates robust systemic inflammation with both articular and extra articular manifestations, including significant paw swelling, joint destruction, and occasional systemic features like weight loss and splenomegaly.</w:t>
      </w:r>
    </w:p>
    <w:p w14:paraId="727A25DE" w14:textId="77777777" w:rsidR="00AC5653" w:rsidRDefault="00AC5653" w:rsidP="00364CAB">
      <w:pPr>
        <w:pStyle w:val="ListParagraph"/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</w:p>
    <w:p w14:paraId="237E2F4A" w14:textId="190B9BF9" w:rsidR="00AC5653" w:rsidRDefault="00364CAB" w:rsidP="00364CAB">
      <w:pPr>
        <w:pStyle w:val="ListParagraph"/>
        <w:numPr>
          <w:ilvl w:val="1"/>
          <w:numId w:val="2"/>
        </w:numPr>
        <w:tabs>
          <w:tab w:val="left" w:pos="900"/>
        </w:tabs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following study acts as precedent for dose reduction of prednisolone using a nutraceutical </w:t>
      </w:r>
      <w:r w:rsidRPr="00AC5653">
        <w:rPr>
          <w:rFonts w:asciiTheme="majorBidi" w:hAnsiTheme="majorBidi" w:cstheme="majorBidi"/>
          <w:b/>
          <w:bCs/>
          <w:sz w:val="28"/>
          <w:szCs w:val="28"/>
        </w:rPr>
        <w:t xml:space="preserve">and it utilizes AA as the RA model. </w:t>
      </w:r>
      <w:r w:rsidR="00AC5653" w:rsidRPr="001F229F">
        <w:rPr>
          <w:rFonts w:asciiTheme="majorBidi" w:hAnsiTheme="majorBidi" w:cstheme="majorBidi"/>
          <w:b/>
          <w:bCs/>
          <w:sz w:val="28"/>
          <w:szCs w:val="28"/>
        </w:rPr>
        <w:t>“</w:t>
      </w:r>
      <w:proofErr w:type="spellStart"/>
      <w:r w:rsidR="00AC5653" w:rsidRPr="001F229F">
        <w:rPr>
          <w:rFonts w:asciiTheme="majorBidi" w:hAnsiTheme="majorBidi" w:cstheme="majorBidi"/>
          <w:b/>
          <w:bCs/>
          <w:sz w:val="28"/>
          <w:szCs w:val="28"/>
        </w:rPr>
        <w:t>Morvaridi</w:t>
      </w:r>
      <w:proofErr w:type="spellEnd"/>
      <w:r w:rsidR="00AC5653" w:rsidRPr="001F229F">
        <w:rPr>
          <w:rFonts w:asciiTheme="majorBidi" w:hAnsiTheme="majorBidi" w:cstheme="majorBidi"/>
          <w:b/>
          <w:bCs/>
          <w:sz w:val="28"/>
          <w:szCs w:val="28"/>
        </w:rPr>
        <w:t xml:space="preserve"> A, Abtahi </w:t>
      </w:r>
      <w:proofErr w:type="spellStart"/>
      <w:r w:rsidR="00AC5653" w:rsidRPr="001F229F">
        <w:rPr>
          <w:rFonts w:asciiTheme="majorBidi" w:hAnsiTheme="majorBidi" w:cstheme="majorBidi"/>
          <w:b/>
          <w:bCs/>
          <w:sz w:val="28"/>
          <w:szCs w:val="28"/>
        </w:rPr>
        <w:t>Froushani</w:t>
      </w:r>
      <w:proofErr w:type="spellEnd"/>
      <w:r w:rsidR="00AC5653" w:rsidRPr="001F229F">
        <w:rPr>
          <w:rFonts w:asciiTheme="majorBidi" w:hAnsiTheme="majorBidi" w:cstheme="majorBidi"/>
          <w:b/>
          <w:bCs/>
          <w:sz w:val="28"/>
          <w:szCs w:val="28"/>
        </w:rPr>
        <w:t xml:space="preserve"> SM, Farshid AA. Benefits of combining piperine with prednisolone in an experimental model of rheumatoid arthritis.” </w:t>
      </w:r>
    </w:p>
    <w:p w14:paraId="627583FA" w14:textId="77777777" w:rsidR="00107733" w:rsidRPr="001F229F" w:rsidRDefault="00107733" w:rsidP="00107733">
      <w:pPr>
        <w:pStyle w:val="ListParagraph"/>
        <w:tabs>
          <w:tab w:val="left" w:pos="900"/>
        </w:tabs>
        <w:spacing w:line="240" w:lineRule="auto"/>
        <w:ind w:left="792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9618014" w14:textId="77777777" w:rsidR="00AC5653" w:rsidRPr="00AC5653" w:rsidRDefault="00AC5653" w:rsidP="00364CAB">
      <w:pPr>
        <w:pStyle w:val="ListParagraph"/>
        <w:tabs>
          <w:tab w:val="left" w:pos="900"/>
        </w:tabs>
        <w:spacing w:line="240" w:lineRule="auto"/>
        <w:ind w:left="792"/>
        <w:jc w:val="both"/>
        <w:rPr>
          <w:rFonts w:asciiTheme="majorBidi" w:hAnsiTheme="majorBidi" w:cstheme="majorBidi"/>
          <w:sz w:val="28"/>
          <w:szCs w:val="28"/>
        </w:rPr>
      </w:pPr>
    </w:p>
    <w:p w14:paraId="225F0A7A" w14:textId="0116D038" w:rsidR="00AC5653" w:rsidRDefault="00AC5653" w:rsidP="00364CA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C5653">
        <w:rPr>
          <w:rFonts w:asciiTheme="majorBidi" w:hAnsiTheme="majorBidi" w:cstheme="majorBidi"/>
          <w:b/>
          <w:bCs/>
          <w:sz w:val="32"/>
          <w:szCs w:val="32"/>
        </w:rPr>
        <w:lastRenderedPageBreak/>
        <w:t>Study Groups</w:t>
      </w:r>
      <w:r>
        <w:rPr>
          <w:rFonts w:asciiTheme="majorBidi" w:hAnsiTheme="majorBidi" w:cstheme="majorBidi"/>
          <w:b/>
          <w:bCs/>
          <w:sz w:val="32"/>
          <w:szCs w:val="32"/>
        </w:rPr>
        <w:t>, D</w:t>
      </w:r>
      <w:r w:rsidRPr="00AC5653">
        <w:rPr>
          <w:rFonts w:asciiTheme="majorBidi" w:hAnsiTheme="majorBidi" w:cstheme="majorBidi"/>
          <w:b/>
          <w:bCs/>
          <w:sz w:val="32"/>
          <w:szCs w:val="32"/>
        </w:rPr>
        <w:t>oses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, </w:t>
      </w:r>
      <w:r w:rsidR="005309AE">
        <w:rPr>
          <w:rFonts w:asciiTheme="majorBidi" w:hAnsiTheme="majorBidi" w:cstheme="majorBidi"/>
          <w:b/>
          <w:bCs/>
          <w:sz w:val="32"/>
          <w:szCs w:val="32"/>
        </w:rPr>
        <w:t>A</w:t>
      </w:r>
      <w:r>
        <w:rPr>
          <w:rFonts w:asciiTheme="majorBidi" w:hAnsiTheme="majorBidi" w:cstheme="majorBidi"/>
          <w:b/>
          <w:bCs/>
          <w:sz w:val="32"/>
          <w:szCs w:val="32"/>
        </w:rPr>
        <w:t>nimals:</w:t>
      </w:r>
    </w:p>
    <w:p w14:paraId="626C98F6" w14:textId="77777777" w:rsidR="00AC5653" w:rsidRDefault="00AC5653" w:rsidP="00364CAB">
      <w:pPr>
        <w:pStyle w:val="ListParagraph"/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731D186" w14:textId="6F683A44" w:rsidR="00AC5653" w:rsidRPr="00364CAB" w:rsidRDefault="00AC5653" w:rsidP="00364CAB">
      <w:pPr>
        <w:pStyle w:val="ListParagraph"/>
        <w:numPr>
          <w:ilvl w:val="1"/>
          <w:numId w:val="2"/>
        </w:numPr>
        <w:spacing w:line="240" w:lineRule="auto"/>
        <w:ind w:left="63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64C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64CAB">
        <w:rPr>
          <w:rFonts w:asciiTheme="majorBidi" w:hAnsiTheme="majorBidi" w:cstheme="majorBidi"/>
          <w:sz w:val="28"/>
          <w:szCs w:val="28"/>
        </w:rPr>
        <w:t xml:space="preserve">Based on the following study </w:t>
      </w:r>
      <w:r w:rsidRPr="00364CAB">
        <w:rPr>
          <w:rFonts w:asciiTheme="majorBidi" w:hAnsiTheme="majorBidi" w:cstheme="majorBidi"/>
          <w:b/>
          <w:bCs/>
          <w:sz w:val="28"/>
          <w:szCs w:val="28"/>
        </w:rPr>
        <w:t>“</w:t>
      </w:r>
      <w:proofErr w:type="spellStart"/>
      <w:r w:rsidRPr="00364CAB">
        <w:rPr>
          <w:rFonts w:asciiTheme="majorBidi" w:hAnsiTheme="majorBidi" w:cstheme="majorBidi"/>
          <w:b/>
          <w:bCs/>
          <w:sz w:val="28"/>
          <w:szCs w:val="28"/>
        </w:rPr>
        <w:t>Morvaridi</w:t>
      </w:r>
      <w:proofErr w:type="spellEnd"/>
      <w:r w:rsidRPr="00364CAB">
        <w:rPr>
          <w:rFonts w:asciiTheme="majorBidi" w:hAnsiTheme="majorBidi" w:cstheme="majorBidi"/>
          <w:b/>
          <w:bCs/>
          <w:sz w:val="28"/>
          <w:szCs w:val="28"/>
        </w:rPr>
        <w:t xml:space="preserve"> A, Abtahi </w:t>
      </w:r>
      <w:proofErr w:type="spellStart"/>
      <w:r w:rsidRPr="00364CAB">
        <w:rPr>
          <w:rFonts w:asciiTheme="majorBidi" w:hAnsiTheme="majorBidi" w:cstheme="majorBidi"/>
          <w:b/>
          <w:bCs/>
          <w:sz w:val="28"/>
          <w:szCs w:val="28"/>
        </w:rPr>
        <w:t>Froushani</w:t>
      </w:r>
      <w:proofErr w:type="spellEnd"/>
      <w:r w:rsidRPr="00364CAB">
        <w:rPr>
          <w:rFonts w:asciiTheme="majorBidi" w:hAnsiTheme="majorBidi" w:cstheme="majorBidi"/>
          <w:b/>
          <w:bCs/>
          <w:sz w:val="28"/>
          <w:szCs w:val="28"/>
        </w:rPr>
        <w:t xml:space="preserve"> SM, Farshid AA. Benefits of combining piperine with prednisolone in an experimental model of rheumatoid arthritis.”</w:t>
      </w:r>
      <w:r w:rsidRPr="00364CAB">
        <w:rPr>
          <w:rFonts w:asciiTheme="majorBidi" w:hAnsiTheme="majorBidi" w:cstheme="majorBidi"/>
          <w:sz w:val="28"/>
          <w:szCs w:val="28"/>
        </w:rPr>
        <w:t xml:space="preserve"> </w:t>
      </w:r>
      <w:r w:rsidRPr="00364CAB">
        <w:rPr>
          <w:rFonts w:asciiTheme="majorBidi" w:hAnsiTheme="majorBidi" w:cstheme="majorBidi"/>
          <w:b/>
          <w:bCs/>
          <w:sz w:val="28"/>
          <w:szCs w:val="28"/>
        </w:rPr>
        <w:t xml:space="preserve">The following has been established: </w:t>
      </w:r>
    </w:p>
    <w:p w14:paraId="0F906774" w14:textId="77777777" w:rsidR="00AC5653" w:rsidRPr="00364CAB" w:rsidRDefault="00AC5653" w:rsidP="00364CAB">
      <w:pPr>
        <w:pStyle w:val="ListParagraph"/>
        <w:spacing w:line="240" w:lineRule="auto"/>
        <w:ind w:left="63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4DB69E6" w14:textId="3403DDBD" w:rsidR="00AC5653" w:rsidRPr="00364CAB" w:rsidRDefault="005309AE" w:rsidP="00364CAB">
      <w:pPr>
        <w:pStyle w:val="ListParagraph"/>
        <w:numPr>
          <w:ilvl w:val="2"/>
          <w:numId w:val="2"/>
        </w:numPr>
        <w:tabs>
          <w:tab w:val="left" w:pos="1260"/>
        </w:tabs>
        <w:spacing w:line="240" w:lineRule="auto"/>
        <w:ind w:left="1170" w:hanging="54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 xml:space="preserve"> </w:t>
      </w:r>
      <w:r w:rsidR="00AC5653" w:rsidRPr="00364CAB">
        <w:rPr>
          <w:rFonts w:asciiTheme="majorBidi" w:hAnsiTheme="majorBidi" w:cstheme="majorBidi"/>
          <w:sz w:val="28"/>
          <w:szCs w:val="28"/>
        </w:rPr>
        <w:t>Male Wistar rats, aged 8 weeks, these rats had an average weight of 150 ± 7.00 g.</w:t>
      </w:r>
    </w:p>
    <w:p w14:paraId="2ABE2BEA" w14:textId="77777777" w:rsidR="005309AE" w:rsidRPr="00364CAB" w:rsidRDefault="005309AE" w:rsidP="00364CAB">
      <w:pPr>
        <w:pStyle w:val="ListParagraph"/>
        <w:spacing w:line="240" w:lineRule="auto"/>
        <w:ind w:left="1170"/>
        <w:jc w:val="both"/>
        <w:rPr>
          <w:rFonts w:asciiTheme="majorBidi" w:hAnsiTheme="majorBidi" w:cstheme="majorBidi"/>
          <w:sz w:val="28"/>
          <w:szCs w:val="28"/>
        </w:rPr>
      </w:pPr>
    </w:p>
    <w:p w14:paraId="73C7AB55" w14:textId="7F4B2BCD" w:rsidR="005309AE" w:rsidRPr="00364CAB" w:rsidRDefault="005309AE" w:rsidP="00364CAB">
      <w:pPr>
        <w:pStyle w:val="ListParagraph"/>
        <w:numPr>
          <w:ilvl w:val="2"/>
          <w:numId w:val="2"/>
        </w:numPr>
        <w:spacing w:line="240" w:lineRule="auto"/>
        <w:ind w:left="1170" w:hanging="54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 xml:space="preserve">Oral route of administration </w:t>
      </w:r>
      <w:r w:rsidR="00107733">
        <w:rPr>
          <w:rFonts w:asciiTheme="majorBidi" w:hAnsiTheme="majorBidi" w:cstheme="majorBidi"/>
          <w:sz w:val="28"/>
          <w:szCs w:val="28"/>
        </w:rPr>
        <w:t xml:space="preserve">of prednisolone and I.P 10% ethanol. </w:t>
      </w:r>
    </w:p>
    <w:p w14:paraId="7F8AEB92" w14:textId="77777777" w:rsidR="00AC5653" w:rsidRPr="00364CAB" w:rsidRDefault="00AC5653" w:rsidP="00364CAB">
      <w:pPr>
        <w:pStyle w:val="ListParagraph"/>
        <w:spacing w:line="240" w:lineRule="auto"/>
        <w:ind w:left="1224"/>
        <w:jc w:val="both"/>
        <w:rPr>
          <w:rFonts w:asciiTheme="majorBidi" w:hAnsiTheme="majorBidi" w:cstheme="majorBidi"/>
          <w:sz w:val="28"/>
          <w:szCs w:val="28"/>
        </w:rPr>
      </w:pPr>
    </w:p>
    <w:p w14:paraId="58BB35FF" w14:textId="3C828DA1" w:rsidR="00AC5653" w:rsidRPr="00364CAB" w:rsidRDefault="005309AE" w:rsidP="00364CAB">
      <w:pPr>
        <w:pStyle w:val="ListParagraph"/>
        <w:numPr>
          <w:ilvl w:val="2"/>
          <w:numId w:val="2"/>
        </w:numPr>
        <w:spacing w:line="240" w:lineRule="auto"/>
        <w:ind w:left="1170" w:hanging="54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 xml:space="preserve">5 groups were used, however for the purpose of our study I suggest adding </w:t>
      </w:r>
      <w:r w:rsidR="00107733" w:rsidRPr="00364CAB">
        <w:rPr>
          <w:rFonts w:asciiTheme="majorBidi" w:hAnsiTheme="majorBidi" w:cstheme="majorBidi"/>
          <w:sz w:val="28"/>
          <w:szCs w:val="28"/>
        </w:rPr>
        <w:t>2 groups</w:t>
      </w:r>
      <w:r w:rsidRPr="00364CAB">
        <w:rPr>
          <w:rFonts w:asciiTheme="majorBidi" w:hAnsiTheme="majorBidi" w:cstheme="majorBidi"/>
          <w:sz w:val="28"/>
          <w:szCs w:val="28"/>
        </w:rPr>
        <w:t xml:space="preserve"> to demonstrate a dose dependent effect of PEA + Prednisolone synergism. </w:t>
      </w:r>
      <w:r w:rsidRPr="00364CAB">
        <w:rPr>
          <w:rFonts w:asciiTheme="majorBidi" w:hAnsiTheme="majorBidi" w:cstheme="majorBidi"/>
          <w:b/>
          <w:bCs/>
          <w:sz w:val="28"/>
          <w:szCs w:val="28"/>
        </w:rPr>
        <w:t xml:space="preserve">Groups are as follows: </w:t>
      </w:r>
    </w:p>
    <w:p w14:paraId="3A3697D9" w14:textId="77777777" w:rsidR="005309AE" w:rsidRPr="00364CAB" w:rsidRDefault="005309AE" w:rsidP="00364CAB">
      <w:pPr>
        <w:pStyle w:val="ListParagraph"/>
        <w:spacing w:line="240" w:lineRule="auto"/>
        <w:ind w:left="1224"/>
        <w:jc w:val="both"/>
        <w:rPr>
          <w:rFonts w:asciiTheme="majorBidi" w:hAnsiTheme="majorBidi" w:cstheme="majorBidi"/>
          <w:sz w:val="28"/>
          <w:szCs w:val="28"/>
        </w:rPr>
      </w:pPr>
    </w:p>
    <w:p w14:paraId="103C82B4" w14:textId="77777777" w:rsidR="005309AE" w:rsidRPr="00364CAB" w:rsidRDefault="005309AE" w:rsidP="00364CAB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>Group 1 (Control): Healthy rats, no treatment.</w:t>
      </w:r>
    </w:p>
    <w:p w14:paraId="1D300C51" w14:textId="77777777" w:rsidR="005309AE" w:rsidRPr="00364CAB" w:rsidRDefault="005309AE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7C6EECA2" w14:textId="77777777" w:rsidR="005309AE" w:rsidRPr="00364CAB" w:rsidRDefault="005309AE" w:rsidP="00364CAB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>Group 2 (RA): RA-induced rats, no treatment.</w:t>
      </w:r>
    </w:p>
    <w:p w14:paraId="7D06FD22" w14:textId="77777777" w:rsidR="005309AE" w:rsidRPr="00364CAB" w:rsidRDefault="005309AE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4678FA5D" w14:textId="1F47AC43" w:rsidR="005309AE" w:rsidRPr="00364CAB" w:rsidRDefault="005309AE" w:rsidP="00364CAB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>Group 3 (RA + PEA): RA-induced rats treated with PEA (</w:t>
      </w:r>
      <w:r w:rsidR="00107733">
        <w:rPr>
          <w:rFonts w:asciiTheme="majorBidi" w:hAnsiTheme="majorBidi" w:cstheme="majorBidi"/>
          <w:sz w:val="28"/>
          <w:szCs w:val="28"/>
        </w:rPr>
        <w:t>50mg/Kg</w:t>
      </w:r>
      <w:r w:rsidRPr="00364CAB">
        <w:rPr>
          <w:rFonts w:asciiTheme="majorBidi" w:hAnsiTheme="majorBidi" w:cstheme="majorBidi"/>
          <w:sz w:val="28"/>
          <w:szCs w:val="28"/>
        </w:rPr>
        <w:t>).</w:t>
      </w:r>
    </w:p>
    <w:p w14:paraId="38959ECC" w14:textId="77777777" w:rsidR="005309AE" w:rsidRPr="00364CAB" w:rsidRDefault="005309AE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2A2990D6" w14:textId="77777777" w:rsidR="005309AE" w:rsidRPr="00364CAB" w:rsidRDefault="005309AE" w:rsidP="00364CAB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>Group 4 (RA + Pred): RA-induced rats treated with Prednisolone (10.00 mg kg⁻¹).</w:t>
      </w:r>
    </w:p>
    <w:p w14:paraId="2EC7A22B" w14:textId="77777777" w:rsidR="005309AE" w:rsidRPr="00364CAB" w:rsidRDefault="005309AE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3EF9975A" w14:textId="7592C05B" w:rsidR="005309AE" w:rsidRPr="00364CAB" w:rsidRDefault="005309AE" w:rsidP="00364CAB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>Group 5 (</w:t>
      </w:r>
      <w:proofErr w:type="spellStart"/>
      <w:r w:rsidRPr="00364CAB">
        <w:rPr>
          <w:rFonts w:asciiTheme="majorBidi" w:hAnsiTheme="majorBidi" w:cstheme="majorBidi"/>
          <w:sz w:val="28"/>
          <w:szCs w:val="28"/>
        </w:rPr>
        <w:t>RA+Com</w:t>
      </w:r>
      <w:proofErr w:type="spellEnd"/>
      <w:r w:rsidRPr="00364CAB">
        <w:rPr>
          <w:rFonts w:asciiTheme="majorBidi" w:hAnsiTheme="majorBidi" w:cstheme="majorBidi"/>
          <w:sz w:val="28"/>
          <w:szCs w:val="28"/>
        </w:rPr>
        <w:t>): RA-induced rats treated with a combination of: PEA (</w:t>
      </w:r>
      <w:r w:rsidR="00107733">
        <w:rPr>
          <w:rFonts w:asciiTheme="majorBidi" w:hAnsiTheme="majorBidi" w:cstheme="majorBidi"/>
          <w:sz w:val="28"/>
          <w:szCs w:val="28"/>
        </w:rPr>
        <w:t xml:space="preserve">10 </w:t>
      </w:r>
      <w:r w:rsidRPr="00364CAB">
        <w:rPr>
          <w:rFonts w:asciiTheme="majorBidi" w:hAnsiTheme="majorBidi" w:cstheme="majorBidi"/>
          <w:sz w:val="28"/>
          <w:szCs w:val="28"/>
        </w:rPr>
        <w:t>mg kg⁻¹) and Prednisolone (5.00 mg kg⁻¹).</w:t>
      </w:r>
    </w:p>
    <w:p w14:paraId="493C15CE" w14:textId="77777777" w:rsidR="005309AE" w:rsidRPr="00364CAB" w:rsidRDefault="005309AE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7D6EC30E" w14:textId="19EA5E78" w:rsidR="00364CAB" w:rsidRDefault="005309AE" w:rsidP="00364CAB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 xml:space="preserve">Group </w:t>
      </w:r>
      <w:r w:rsidR="00107733">
        <w:rPr>
          <w:rFonts w:asciiTheme="majorBidi" w:hAnsiTheme="majorBidi" w:cstheme="majorBidi"/>
          <w:sz w:val="28"/>
          <w:szCs w:val="28"/>
        </w:rPr>
        <w:t>6</w:t>
      </w:r>
      <w:r w:rsidRPr="00364CAB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364CAB">
        <w:rPr>
          <w:rFonts w:asciiTheme="majorBidi" w:hAnsiTheme="majorBidi" w:cstheme="majorBidi"/>
          <w:sz w:val="28"/>
          <w:szCs w:val="28"/>
        </w:rPr>
        <w:t>RA+Com</w:t>
      </w:r>
      <w:proofErr w:type="spellEnd"/>
      <w:r w:rsidRPr="00364CAB">
        <w:rPr>
          <w:rFonts w:asciiTheme="majorBidi" w:hAnsiTheme="majorBidi" w:cstheme="majorBidi"/>
          <w:sz w:val="28"/>
          <w:szCs w:val="28"/>
        </w:rPr>
        <w:t>): RA-induced rats treated with a combination of: PEA (</w:t>
      </w:r>
      <w:r w:rsidR="00107733">
        <w:rPr>
          <w:rFonts w:asciiTheme="majorBidi" w:hAnsiTheme="majorBidi" w:cstheme="majorBidi"/>
          <w:sz w:val="28"/>
          <w:szCs w:val="28"/>
        </w:rPr>
        <w:t>30</w:t>
      </w:r>
      <w:r w:rsidRPr="00364CAB">
        <w:rPr>
          <w:rFonts w:asciiTheme="majorBidi" w:hAnsiTheme="majorBidi" w:cstheme="majorBidi"/>
          <w:sz w:val="28"/>
          <w:szCs w:val="28"/>
        </w:rPr>
        <w:t xml:space="preserve"> mg kg⁻¹) and Prednisolone (5.00 mg kg⁻¹).</w:t>
      </w:r>
    </w:p>
    <w:p w14:paraId="09BC097F" w14:textId="77777777" w:rsidR="00107733" w:rsidRDefault="00107733" w:rsidP="00107733">
      <w:pPr>
        <w:pStyle w:val="ListParagraph"/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</w:p>
    <w:p w14:paraId="70BBE147" w14:textId="4F36DB5D" w:rsidR="00107733" w:rsidRDefault="00107733" w:rsidP="00107733">
      <w:pPr>
        <w:pStyle w:val="ListParagraph"/>
        <w:numPr>
          <w:ilvl w:val="3"/>
          <w:numId w:val="2"/>
        </w:numPr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  <w:r w:rsidRPr="00364CAB">
        <w:rPr>
          <w:rFonts w:asciiTheme="majorBidi" w:hAnsiTheme="majorBidi" w:cstheme="majorBidi"/>
          <w:sz w:val="28"/>
          <w:szCs w:val="28"/>
        </w:rPr>
        <w:t xml:space="preserve">Group </w:t>
      </w:r>
      <w:r>
        <w:rPr>
          <w:rFonts w:asciiTheme="majorBidi" w:hAnsiTheme="majorBidi" w:cstheme="majorBidi"/>
          <w:sz w:val="28"/>
          <w:szCs w:val="28"/>
        </w:rPr>
        <w:t>7</w:t>
      </w:r>
      <w:r w:rsidRPr="00364CAB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364CAB">
        <w:rPr>
          <w:rFonts w:asciiTheme="majorBidi" w:hAnsiTheme="majorBidi" w:cstheme="majorBidi"/>
          <w:sz w:val="28"/>
          <w:szCs w:val="28"/>
        </w:rPr>
        <w:t>RA+Com</w:t>
      </w:r>
      <w:proofErr w:type="spellEnd"/>
      <w:r w:rsidRPr="00364CAB">
        <w:rPr>
          <w:rFonts w:asciiTheme="majorBidi" w:hAnsiTheme="majorBidi" w:cstheme="majorBidi"/>
          <w:sz w:val="28"/>
          <w:szCs w:val="28"/>
        </w:rPr>
        <w:t>): RA-induced rats treated with a combination of: PEA (</w:t>
      </w:r>
      <w:r>
        <w:rPr>
          <w:rFonts w:asciiTheme="majorBidi" w:hAnsiTheme="majorBidi" w:cstheme="majorBidi"/>
          <w:sz w:val="28"/>
          <w:szCs w:val="28"/>
        </w:rPr>
        <w:t>50</w:t>
      </w:r>
      <w:r w:rsidRPr="00364CAB">
        <w:rPr>
          <w:rFonts w:asciiTheme="majorBidi" w:hAnsiTheme="majorBidi" w:cstheme="majorBidi"/>
          <w:sz w:val="28"/>
          <w:szCs w:val="28"/>
        </w:rPr>
        <w:t xml:space="preserve"> mg kg⁻¹) and Prednisolone (5.00 mg kg⁻¹).</w:t>
      </w:r>
    </w:p>
    <w:p w14:paraId="45EBB04C" w14:textId="77777777" w:rsidR="00107733" w:rsidRDefault="00107733" w:rsidP="00107733">
      <w:pPr>
        <w:pStyle w:val="ListParagraph"/>
        <w:spacing w:line="240" w:lineRule="auto"/>
        <w:ind w:left="1890"/>
        <w:jc w:val="both"/>
        <w:rPr>
          <w:rFonts w:asciiTheme="majorBidi" w:hAnsiTheme="majorBidi" w:cstheme="majorBidi"/>
          <w:sz w:val="28"/>
          <w:szCs w:val="28"/>
        </w:rPr>
      </w:pPr>
    </w:p>
    <w:p w14:paraId="52857D0A" w14:textId="77777777" w:rsidR="00364CAB" w:rsidRDefault="00364CAB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4F5C622E" w14:textId="77777777" w:rsidR="00364CAB" w:rsidRPr="00107733" w:rsidRDefault="00364CAB" w:rsidP="00107733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FA47F11" w14:textId="77777777" w:rsidR="00364CAB" w:rsidRDefault="00364CAB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27FE3ECD" w14:textId="77777777" w:rsidR="00364CAB" w:rsidRPr="00364CAB" w:rsidRDefault="00364CAB" w:rsidP="00364CAB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6EEBED03" w14:textId="77777777" w:rsidR="001F229F" w:rsidRDefault="00364CAB" w:rsidP="001F229F">
      <w:pPr>
        <w:pStyle w:val="ListParagraph"/>
        <w:numPr>
          <w:ilvl w:val="3"/>
          <w:numId w:val="2"/>
        </w:numPr>
        <w:spacing w:line="240" w:lineRule="auto"/>
        <w:ind w:left="1890"/>
        <w:rPr>
          <w:rFonts w:asciiTheme="majorBidi" w:hAnsiTheme="majorBidi" w:cstheme="majorBidi"/>
          <w:b/>
          <w:bCs/>
          <w:sz w:val="28"/>
          <w:szCs w:val="28"/>
        </w:rPr>
      </w:pPr>
      <w:r w:rsidRPr="00364CAB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The doses of PEA </w:t>
      </w:r>
      <w:r w:rsidRPr="00364CAB">
        <w:rPr>
          <w:rFonts w:asciiTheme="majorBidi" w:hAnsiTheme="majorBidi" w:cstheme="majorBidi"/>
          <w:sz w:val="28"/>
          <w:szCs w:val="28"/>
        </w:rPr>
        <w:t xml:space="preserve">were determined using the following study </w:t>
      </w:r>
      <w:r w:rsidRPr="00364CAB">
        <w:rPr>
          <w:rFonts w:asciiTheme="majorBidi" w:hAnsiTheme="majorBidi" w:cstheme="majorBidi"/>
          <w:b/>
          <w:bCs/>
          <w:sz w:val="28"/>
          <w:szCs w:val="28"/>
        </w:rPr>
        <w:t xml:space="preserve">“Jung JI, Lee HS, Jeon YE, Kim SM, Hong SH, Moon JM, et al. Anti-inflammatory activity of </w:t>
      </w:r>
      <w:proofErr w:type="spellStart"/>
      <w:r w:rsidRPr="00364CAB">
        <w:rPr>
          <w:rFonts w:asciiTheme="majorBidi" w:hAnsiTheme="majorBidi" w:cstheme="majorBidi"/>
          <w:b/>
          <w:bCs/>
          <w:sz w:val="28"/>
          <w:szCs w:val="28"/>
        </w:rPr>
        <w:t>palmitoylethanolamide</w:t>
      </w:r>
      <w:proofErr w:type="spellEnd"/>
      <w:r w:rsidRPr="00364CAB">
        <w:rPr>
          <w:rFonts w:asciiTheme="majorBidi" w:hAnsiTheme="majorBidi" w:cstheme="majorBidi"/>
          <w:b/>
          <w:bCs/>
          <w:sz w:val="28"/>
          <w:szCs w:val="28"/>
        </w:rPr>
        <w:t xml:space="preserve"> ameliorates osteoarthritis induced by monosodium iodoacetate in Sprague–Dawley rats. </w:t>
      </w:r>
      <w:proofErr w:type="spellStart"/>
      <w:r w:rsidRPr="00364CAB">
        <w:rPr>
          <w:rFonts w:asciiTheme="majorBidi" w:hAnsiTheme="majorBidi" w:cstheme="majorBidi"/>
          <w:b/>
          <w:bCs/>
          <w:sz w:val="28"/>
          <w:szCs w:val="28"/>
        </w:rPr>
        <w:t>Inflammopharmacology</w:t>
      </w:r>
      <w:proofErr w:type="spellEnd"/>
      <w:r w:rsidRPr="00364CAB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proofErr w:type="gramStart"/>
      <w:r w:rsidRPr="00364CAB">
        <w:rPr>
          <w:rFonts w:asciiTheme="majorBidi" w:hAnsiTheme="majorBidi" w:cstheme="majorBidi"/>
          <w:b/>
          <w:bCs/>
          <w:sz w:val="28"/>
          <w:szCs w:val="28"/>
        </w:rPr>
        <w:t>2021;29:1475</w:t>
      </w:r>
      <w:proofErr w:type="gramEnd"/>
      <w:r w:rsidRPr="00364CAB">
        <w:rPr>
          <w:rFonts w:asciiTheme="majorBidi" w:hAnsiTheme="majorBidi" w:cstheme="majorBidi"/>
          <w:b/>
          <w:bCs/>
          <w:sz w:val="28"/>
          <w:szCs w:val="28"/>
        </w:rPr>
        <w:t>-86.”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64CA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052C179E" w14:textId="77777777" w:rsidR="001F229F" w:rsidRDefault="001F229F" w:rsidP="001F229F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C803C73" w14:textId="77777777" w:rsidR="006F50A0" w:rsidRPr="006F50A0" w:rsidRDefault="006F50A0" w:rsidP="006F50A0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sz w:val="28"/>
          <w:szCs w:val="28"/>
        </w:rPr>
      </w:pPr>
    </w:p>
    <w:p w14:paraId="03C1813A" w14:textId="4D1A3636" w:rsidR="00364CAB" w:rsidRDefault="006F50A0" w:rsidP="00A65EB1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Another paper used 30mg/kg orally of um-PEA </w:t>
      </w:r>
      <w:r w:rsidRPr="006F50A0">
        <w:rPr>
          <w:rFonts w:asciiTheme="majorBidi" w:hAnsiTheme="majorBidi" w:cstheme="majorBidi"/>
          <w:sz w:val="28"/>
          <w:szCs w:val="28"/>
        </w:rPr>
        <w:t xml:space="preserve">Reduced serum levels of </w:t>
      </w:r>
      <w:r w:rsidRPr="006F50A0">
        <w:rPr>
          <w:rFonts w:asciiTheme="majorBidi" w:hAnsiTheme="majorBidi" w:cstheme="majorBidi"/>
          <w:b/>
          <w:bCs/>
          <w:sz w:val="28"/>
          <w:szCs w:val="28"/>
          <w:u w:val="single"/>
        </w:rPr>
        <w:t>TNF-α, IL-1β, MCP-1, and LPS.</w:t>
      </w:r>
      <w:r w:rsidRPr="006F50A0">
        <w:rPr>
          <w:rFonts w:asciiTheme="majorBidi" w:hAnsiTheme="majorBidi" w:cstheme="majorBidi"/>
          <w:sz w:val="28"/>
          <w:szCs w:val="28"/>
        </w:rPr>
        <w:t xml:space="preserve"> Attenuated microglial and astrocyte activation, reduced pro-inflammatory pathways/cytokines in the brain, and decreased transcription of mast cell markers in the hippocampus</w:t>
      </w:r>
      <w:r w:rsidRPr="006F50A0">
        <w:rPr>
          <w:rFonts w:asciiTheme="majorBidi" w:hAnsiTheme="majorBidi" w:cstheme="majorBidi"/>
          <w:sz w:val="28"/>
          <w:szCs w:val="28"/>
        </w:rPr>
        <w:tab/>
      </w:r>
      <w:r w:rsidRPr="006F50A0">
        <w:rPr>
          <w:rFonts w:asciiTheme="majorBidi" w:hAnsiTheme="majorBidi" w:cstheme="majorBidi"/>
          <w:b/>
          <w:bCs/>
          <w:sz w:val="28"/>
          <w:szCs w:val="28"/>
        </w:rPr>
        <w:t>Lama, Adriano, et al. "</w:t>
      </w:r>
      <w:proofErr w:type="spellStart"/>
      <w:r w:rsidRPr="006F50A0">
        <w:rPr>
          <w:rFonts w:asciiTheme="majorBidi" w:hAnsiTheme="majorBidi" w:cstheme="majorBidi"/>
          <w:b/>
          <w:bCs/>
          <w:sz w:val="28"/>
          <w:szCs w:val="28"/>
        </w:rPr>
        <w:t>Palmitoylethanolamide</w:t>
      </w:r>
      <w:proofErr w:type="spellEnd"/>
      <w:r w:rsidRPr="006F50A0">
        <w:rPr>
          <w:rFonts w:asciiTheme="majorBidi" w:hAnsiTheme="majorBidi" w:cstheme="majorBidi"/>
          <w:b/>
          <w:bCs/>
          <w:sz w:val="28"/>
          <w:szCs w:val="28"/>
        </w:rPr>
        <w:t xml:space="preserve"> Dampens Neuroinflammation and Anxiety-like Behavior in Obese Mice." Brain, Behavior, and Immunity, vol. 102, 2022, pp. 110-23. PubMed, </w:t>
      </w:r>
      <w:proofErr w:type="gramStart"/>
      <w:r w:rsidRPr="006F50A0">
        <w:rPr>
          <w:rFonts w:asciiTheme="majorBidi" w:hAnsiTheme="majorBidi" w:cstheme="majorBidi"/>
          <w:b/>
          <w:bCs/>
          <w:sz w:val="28"/>
          <w:szCs w:val="28"/>
        </w:rPr>
        <w:t>doi:10.1016/j.bbi</w:t>
      </w:r>
      <w:proofErr w:type="gramEnd"/>
      <w:r w:rsidRPr="006F50A0">
        <w:rPr>
          <w:rFonts w:asciiTheme="majorBidi" w:hAnsiTheme="majorBidi" w:cstheme="majorBidi"/>
          <w:b/>
          <w:bCs/>
          <w:sz w:val="28"/>
          <w:szCs w:val="28"/>
        </w:rPr>
        <w:t>.2022.02.008.</w:t>
      </w:r>
    </w:p>
    <w:p w14:paraId="27816233" w14:textId="77777777" w:rsidR="00107733" w:rsidRDefault="00107733" w:rsidP="00A65EB1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E83E896" w14:textId="77777777" w:rsidR="006F50A0" w:rsidRDefault="006F50A0" w:rsidP="00A65EB1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6BB3F7D" w14:textId="77777777" w:rsidR="00A65EB1" w:rsidRPr="006F50A0" w:rsidRDefault="00A65EB1" w:rsidP="00A65EB1">
      <w:pPr>
        <w:pStyle w:val="ListParagraph"/>
        <w:spacing w:line="240" w:lineRule="auto"/>
        <w:ind w:left="1728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034B313" w14:textId="01F2DB06" w:rsidR="005309AE" w:rsidRDefault="00364CAB" w:rsidP="00364CA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Study duration</w:t>
      </w:r>
    </w:p>
    <w:p w14:paraId="28CE976B" w14:textId="77777777" w:rsidR="00364CAB" w:rsidRDefault="00364CAB" w:rsidP="00364CAB">
      <w:pPr>
        <w:pStyle w:val="ListParagraph"/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29130A46" w14:textId="05FDF1D2" w:rsidR="00364CAB" w:rsidRPr="001F229F" w:rsidRDefault="00364CAB" w:rsidP="001F229F">
      <w:pPr>
        <w:pStyle w:val="ListParagraph"/>
        <w:numPr>
          <w:ilvl w:val="1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1F229F" w:rsidRPr="001F229F">
        <w:rPr>
          <w:rFonts w:asciiTheme="majorBidi" w:hAnsiTheme="majorBidi" w:cstheme="majorBidi"/>
          <w:sz w:val="28"/>
          <w:szCs w:val="28"/>
        </w:rPr>
        <w:t xml:space="preserve">Based on the following study </w:t>
      </w:r>
      <w:r w:rsidR="001F229F" w:rsidRPr="001F229F">
        <w:rPr>
          <w:rFonts w:asciiTheme="majorBidi" w:hAnsiTheme="majorBidi" w:cstheme="majorBidi"/>
          <w:b/>
          <w:bCs/>
          <w:sz w:val="28"/>
          <w:szCs w:val="28"/>
        </w:rPr>
        <w:t>“</w:t>
      </w:r>
      <w:proofErr w:type="spellStart"/>
      <w:r w:rsidR="001F229F" w:rsidRPr="001F229F">
        <w:rPr>
          <w:rFonts w:asciiTheme="majorBidi" w:hAnsiTheme="majorBidi" w:cstheme="majorBidi"/>
          <w:b/>
          <w:bCs/>
          <w:sz w:val="28"/>
          <w:szCs w:val="28"/>
        </w:rPr>
        <w:t>Morvaridi</w:t>
      </w:r>
      <w:proofErr w:type="spellEnd"/>
      <w:r w:rsidR="001F229F" w:rsidRPr="001F229F">
        <w:rPr>
          <w:rFonts w:asciiTheme="majorBidi" w:hAnsiTheme="majorBidi" w:cstheme="majorBidi"/>
          <w:b/>
          <w:bCs/>
          <w:sz w:val="28"/>
          <w:szCs w:val="28"/>
        </w:rPr>
        <w:t xml:space="preserve"> A, Abtahi </w:t>
      </w:r>
      <w:proofErr w:type="spellStart"/>
      <w:r w:rsidR="001F229F" w:rsidRPr="001F229F">
        <w:rPr>
          <w:rFonts w:asciiTheme="majorBidi" w:hAnsiTheme="majorBidi" w:cstheme="majorBidi"/>
          <w:b/>
          <w:bCs/>
          <w:sz w:val="28"/>
          <w:szCs w:val="28"/>
        </w:rPr>
        <w:t>Froushani</w:t>
      </w:r>
      <w:proofErr w:type="spellEnd"/>
      <w:r w:rsidR="001F229F" w:rsidRPr="001F229F">
        <w:rPr>
          <w:rFonts w:asciiTheme="majorBidi" w:hAnsiTheme="majorBidi" w:cstheme="majorBidi"/>
          <w:b/>
          <w:bCs/>
          <w:sz w:val="28"/>
          <w:szCs w:val="28"/>
        </w:rPr>
        <w:t xml:space="preserve"> SM, Farshid AA. Benefits of combining piperine with prednisolone in an experimental model of rheumatoid arthritis.” The following periods are established:</w:t>
      </w:r>
    </w:p>
    <w:p w14:paraId="3080650A" w14:textId="77777777" w:rsidR="001F229F" w:rsidRPr="001F229F" w:rsidRDefault="001F229F" w:rsidP="001F229F">
      <w:pPr>
        <w:pStyle w:val="ListParagraph"/>
        <w:spacing w:line="240" w:lineRule="auto"/>
        <w:ind w:left="792"/>
        <w:rPr>
          <w:rFonts w:asciiTheme="majorBidi" w:hAnsiTheme="majorBidi" w:cstheme="majorBidi"/>
          <w:b/>
          <w:bCs/>
          <w:sz w:val="28"/>
          <w:szCs w:val="28"/>
        </w:rPr>
      </w:pPr>
    </w:p>
    <w:p w14:paraId="05C795D0" w14:textId="14069528" w:rsidR="001F229F" w:rsidRPr="001F229F" w:rsidRDefault="001F229F" w:rsidP="001F229F">
      <w:pPr>
        <w:pStyle w:val="ListParagraph"/>
        <w:numPr>
          <w:ilvl w:val="2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1F229F">
        <w:rPr>
          <w:rFonts w:asciiTheme="majorBidi" w:hAnsiTheme="majorBidi" w:cstheme="majorBidi"/>
          <w:sz w:val="28"/>
          <w:szCs w:val="28"/>
        </w:rPr>
        <w:t>RA is to be induced on Day 0 with a single FCA injection.</w:t>
      </w:r>
    </w:p>
    <w:p w14:paraId="17CC8D50" w14:textId="77777777" w:rsidR="001F229F" w:rsidRPr="001F229F" w:rsidRDefault="001F229F" w:rsidP="001F229F">
      <w:pPr>
        <w:pStyle w:val="ListParagraph"/>
        <w:spacing w:line="240" w:lineRule="auto"/>
        <w:ind w:left="1224"/>
        <w:rPr>
          <w:rFonts w:asciiTheme="majorBidi" w:hAnsiTheme="majorBidi" w:cstheme="majorBidi"/>
          <w:b/>
          <w:bCs/>
          <w:sz w:val="28"/>
          <w:szCs w:val="28"/>
        </w:rPr>
      </w:pPr>
    </w:p>
    <w:p w14:paraId="772AC880" w14:textId="64035F9F" w:rsidR="001F229F" w:rsidRPr="001F229F" w:rsidRDefault="001F229F" w:rsidP="001F229F">
      <w:pPr>
        <w:pStyle w:val="ListParagraph"/>
        <w:numPr>
          <w:ilvl w:val="2"/>
          <w:numId w:val="2"/>
        </w:numPr>
        <w:spacing w:line="240" w:lineRule="auto"/>
        <w:ind w:left="1260"/>
        <w:rPr>
          <w:rFonts w:asciiTheme="majorBidi" w:hAnsiTheme="majorBidi" w:cstheme="majorBidi"/>
          <w:b/>
          <w:bCs/>
          <w:sz w:val="28"/>
          <w:szCs w:val="28"/>
        </w:rPr>
      </w:pPr>
      <w:r w:rsidRPr="001F229F">
        <w:rPr>
          <w:rFonts w:asciiTheme="majorBidi" w:hAnsiTheme="majorBidi" w:cstheme="majorBidi"/>
          <w:sz w:val="28"/>
          <w:szCs w:val="28"/>
        </w:rPr>
        <w:t>Treatment is to start after manifestation of clinical symptoms determined by arthritic index (score of more than 1)</w:t>
      </w:r>
    </w:p>
    <w:p w14:paraId="50FE124F" w14:textId="77777777" w:rsidR="001F229F" w:rsidRPr="001F229F" w:rsidRDefault="001F229F" w:rsidP="001F229F">
      <w:pPr>
        <w:pStyle w:val="ListParagraph"/>
        <w:spacing w:line="240" w:lineRule="auto"/>
        <w:ind w:left="1260"/>
        <w:rPr>
          <w:rFonts w:asciiTheme="majorBidi" w:hAnsiTheme="majorBidi" w:cstheme="majorBidi"/>
          <w:b/>
          <w:bCs/>
          <w:sz w:val="28"/>
          <w:szCs w:val="28"/>
        </w:rPr>
      </w:pPr>
    </w:p>
    <w:p w14:paraId="508DE976" w14:textId="277D239D" w:rsidR="00A65EB1" w:rsidRPr="00107733" w:rsidRDefault="001F229F" w:rsidP="00A65EB1">
      <w:pPr>
        <w:pStyle w:val="ListParagraph"/>
        <w:numPr>
          <w:ilvl w:val="2"/>
          <w:numId w:val="2"/>
        </w:numPr>
        <w:spacing w:line="240" w:lineRule="auto"/>
        <w:ind w:left="1260"/>
        <w:rPr>
          <w:rFonts w:asciiTheme="majorBidi" w:hAnsiTheme="majorBidi" w:cstheme="majorBidi"/>
          <w:b/>
          <w:bCs/>
          <w:sz w:val="28"/>
          <w:szCs w:val="28"/>
        </w:rPr>
      </w:pPr>
      <w:r w:rsidRPr="001F229F">
        <w:rPr>
          <w:rFonts w:asciiTheme="majorBidi" w:hAnsiTheme="majorBidi" w:cstheme="majorBidi"/>
          <w:sz w:val="28"/>
          <w:szCs w:val="28"/>
        </w:rPr>
        <w:t xml:space="preserve">An </w:t>
      </w:r>
      <w:proofErr w:type="gramStart"/>
      <w:r w:rsidRPr="001F229F">
        <w:rPr>
          <w:rFonts w:asciiTheme="majorBidi" w:hAnsiTheme="majorBidi" w:cstheme="majorBidi"/>
          <w:sz w:val="28"/>
          <w:szCs w:val="28"/>
        </w:rPr>
        <w:t>average</w:t>
      </w:r>
      <w:proofErr w:type="gramEnd"/>
      <w:r w:rsidRPr="001F229F">
        <w:rPr>
          <w:rFonts w:asciiTheme="majorBidi" w:hAnsiTheme="majorBidi" w:cstheme="majorBidi"/>
          <w:sz w:val="28"/>
          <w:szCs w:val="28"/>
        </w:rPr>
        <w:t xml:space="preserve"> </w:t>
      </w:r>
      <w:r w:rsidR="00107733">
        <w:rPr>
          <w:rFonts w:asciiTheme="majorBidi" w:hAnsiTheme="majorBidi" w:cstheme="majorBidi"/>
          <w:sz w:val="28"/>
          <w:szCs w:val="28"/>
        </w:rPr>
        <w:t xml:space="preserve">28-30 </w:t>
      </w:r>
      <w:r w:rsidRPr="001F229F">
        <w:rPr>
          <w:rFonts w:asciiTheme="majorBidi" w:hAnsiTheme="majorBidi" w:cstheme="majorBidi"/>
          <w:sz w:val="28"/>
          <w:szCs w:val="28"/>
        </w:rPr>
        <w:t xml:space="preserve">days of treatment. </w:t>
      </w:r>
    </w:p>
    <w:p w14:paraId="6C902FFD" w14:textId="77777777" w:rsidR="00107733" w:rsidRPr="006F50A0" w:rsidRDefault="00107733" w:rsidP="00107733">
      <w:pPr>
        <w:pStyle w:val="ListParagraph"/>
        <w:spacing w:line="240" w:lineRule="auto"/>
        <w:ind w:left="1260"/>
        <w:rPr>
          <w:rFonts w:asciiTheme="majorBidi" w:hAnsiTheme="majorBidi" w:cstheme="majorBidi"/>
          <w:b/>
          <w:bCs/>
          <w:sz w:val="28"/>
          <w:szCs w:val="28"/>
        </w:rPr>
      </w:pPr>
    </w:p>
    <w:p w14:paraId="7AEE29F0" w14:textId="77777777" w:rsidR="00A65EB1" w:rsidRDefault="00A65EB1" w:rsidP="0010773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30B5BC3" w14:textId="77777777" w:rsidR="00107733" w:rsidRDefault="00107733" w:rsidP="0010773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7AB90C6" w14:textId="77777777" w:rsidR="00107733" w:rsidRPr="00107733" w:rsidRDefault="00107733" w:rsidP="0010773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064AB45" w14:textId="78EF8DB4" w:rsidR="00A65EB1" w:rsidRPr="00A65EB1" w:rsidRDefault="00A65EB1" w:rsidP="00A65EB1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Parameters</w:t>
      </w:r>
    </w:p>
    <w:p w14:paraId="2F58D3DD" w14:textId="77777777" w:rsidR="00A65EB1" w:rsidRPr="00A65EB1" w:rsidRDefault="00A65EB1" w:rsidP="00A65EB1">
      <w:pPr>
        <w:pStyle w:val="ListParagraph"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68FECC46" w14:textId="32F18D08" w:rsidR="00A65EB1" w:rsidRDefault="00A65EB1" w:rsidP="00A65EB1">
      <w:pPr>
        <w:pStyle w:val="ListParagraph"/>
        <w:numPr>
          <w:ilvl w:val="1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Macroscopical parameters</w:t>
      </w:r>
    </w:p>
    <w:p w14:paraId="27480D2B" w14:textId="77777777" w:rsidR="00A65EB1" w:rsidRDefault="00A65EB1" w:rsidP="00A65EB1">
      <w:pPr>
        <w:pStyle w:val="ListParagraph"/>
        <w:spacing w:line="240" w:lineRule="auto"/>
        <w:ind w:left="792"/>
        <w:rPr>
          <w:rFonts w:asciiTheme="majorBidi" w:hAnsiTheme="majorBidi" w:cstheme="majorBidi"/>
          <w:b/>
          <w:bCs/>
          <w:sz w:val="28"/>
          <w:szCs w:val="28"/>
        </w:rPr>
      </w:pPr>
    </w:p>
    <w:p w14:paraId="3D7F00DD" w14:textId="3E961D5F" w:rsidR="00A65EB1" w:rsidRPr="00A65EB1" w:rsidRDefault="00A65EB1" w:rsidP="00A65EB1">
      <w:pPr>
        <w:pStyle w:val="ListParagraph"/>
        <w:numPr>
          <w:ilvl w:val="2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A65EB1">
        <w:rPr>
          <w:rFonts w:asciiTheme="majorBidi" w:hAnsiTheme="majorBidi" w:cstheme="majorBidi"/>
          <w:b/>
          <w:bCs/>
          <w:sz w:val="28"/>
          <w:szCs w:val="28"/>
        </w:rPr>
        <w:t xml:space="preserve">Paw Volume: </w:t>
      </w:r>
      <w:r w:rsidRPr="00A65EB1">
        <w:rPr>
          <w:rFonts w:asciiTheme="majorBidi" w:hAnsiTheme="majorBidi" w:cstheme="majorBidi"/>
          <w:sz w:val="28"/>
          <w:szCs w:val="28"/>
        </w:rPr>
        <w:t xml:space="preserve">Measured every other day using </w:t>
      </w:r>
      <w:r w:rsidR="008B17AE">
        <w:rPr>
          <w:rFonts w:asciiTheme="majorBidi" w:hAnsiTheme="majorBidi" w:cstheme="majorBidi"/>
          <w:sz w:val="28"/>
          <w:szCs w:val="28"/>
        </w:rPr>
        <w:t xml:space="preserve">a </w:t>
      </w:r>
      <w:r w:rsidRPr="00A65EB1">
        <w:rPr>
          <w:rFonts w:asciiTheme="majorBidi" w:hAnsiTheme="majorBidi" w:cstheme="majorBidi"/>
          <w:sz w:val="28"/>
          <w:szCs w:val="28"/>
        </w:rPr>
        <w:t>plethysmograph.</w:t>
      </w:r>
    </w:p>
    <w:p w14:paraId="059FABE5" w14:textId="77777777" w:rsidR="00A65EB1" w:rsidRPr="00A65EB1" w:rsidRDefault="00A65EB1" w:rsidP="00A65EB1">
      <w:pPr>
        <w:pStyle w:val="ListParagraph"/>
        <w:spacing w:line="240" w:lineRule="auto"/>
        <w:ind w:left="1224"/>
        <w:rPr>
          <w:rFonts w:asciiTheme="majorBidi" w:hAnsiTheme="majorBidi" w:cstheme="majorBidi"/>
          <w:b/>
          <w:bCs/>
          <w:sz w:val="28"/>
          <w:szCs w:val="28"/>
        </w:rPr>
      </w:pPr>
    </w:p>
    <w:p w14:paraId="0B487385" w14:textId="4C50EC5C" w:rsidR="00A65EB1" w:rsidRPr="00A65EB1" w:rsidRDefault="00A65EB1" w:rsidP="00A65EB1">
      <w:pPr>
        <w:pStyle w:val="ListParagraph"/>
        <w:numPr>
          <w:ilvl w:val="2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A65EB1">
        <w:rPr>
          <w:rFonts w:asciiTheme="majorBidi" w:hAnsiTheme="majorBidi" w:cstheme="majorBidi"/>
          <w:b/>
          <w:bCs/>
          <w:sz w:val="28"/>
          <w:szCs w:val="28"/>
        </w:rPr>
        <w:t xml:space="preserve">Arthritis Index: </w:t>
      </w:r>
      <w:r w:rsidRPr="00A65EB1">
        <w:rPr>
          <w:rFonts w:asciiTheme="majorBidi" w:hAnsiTheme="majorBidi" w:cstheme="majorBidi"/>
          <w:sz w:val="28"/>
          <w:szCs w:val="28"/>
        </w:rPr>
        <w:t>Scored every other day by observers based on swelling and redness.</w:t>
      </w:r>
    </w:p>
    <w:p w14:paraId="7078E24A" w14:textId="77777777" w:rsidR="00A65EB1" w:rsidRPr="00A65EB1" w:rsidRDefault="00A65EB1" w:rsidP="00A65EB1">
      <w:pPr>
        <w:pStyle w:val="ListParagraph"/>
        <w:spacing w:line="240" w:lineRule="auto"/>
        <w:ind w:left="1224"/>
        <w:rPr>
          <w:rFonts w:asciiTheme="majorBidi" w:hAnsiTheme="majorBidi" w:cstheme="majorBidi"/>
          <w:b/>
          <w:bCs/>
          <w:sz w:val="28"/>
          <w:szCs w:val="28"/>
        </w:rPr>
      </w:pPr>
    </w:p>
    <w:p w14:paraId="563B6B1F" w14:textId="5EA5BF14" w:rsidR="00A65EB1" w:rsidRDefault="00A65EB1" w:rsidP="00A65EB1">
      <w:pPr>
        <w:pStyle w:val="ListParagraph"/>
        <w:numPr>
          <w:ilvl w:val="1"/>
          <w:numId w:val="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65EB1">
        <w:rPr>
          <w:rFonts w:asciiTheme="majorBidi" w:hAnsiTheme="majorBidi" w:cstheme="majorBidi"/>
          <w:b/>
          <w:bCs/>
          <w:sz w:val="28"/>
          <w:szCs w:val="28"/>
        </w:rPr>
        <w:t xml:space="preserve">Histopathology: </w:t>
      </w:r>
      <w:r w:rsidRPr="00A65EB1">
        <w:rPr>
          <w:rFonts w:asciiTheme="majorBidi" w:hAnsiTheme="majorBidi" w:cstheme="majorBidi"/>
          <w:sz w:val="28"/>
          <w:szCs w:val="28"/>
        </w:rPr>
        <w:t xml:space="preserve">The right ankle is to be </w:t>
      </w:r>
      <w:r w:rsidR="00107733" w:rsidRPr="00A65EB1">
        <w:rPr>
          <w:rFonts w:asciiTheme="majorBidi" w:hAnsiTheme="majorBidi" w:cstheme="majorBidi"/>
          <w:sz w:val="28"/>
          <w:szCs w:val="28"/>
        </w:rPr>
        <w:t>sectioned and</w:t>
      </w:r>
      <w:r w:rsidRPr="00A65EB1">
        <w:rPr>
          <w:rFonts w:asciiTheme="majorBidi" w:hAnsiTheme="majorBidi" w:cstheme="majorBidi"/>
          <w:sz w:val="28"/>
          <w:szCs w:val="28"/>
        </w:rPr>
        <w:t xml:space="preserve"> stained with Hematoxylin and Eosin (H&amp;E) for examination under a light microscope to assess cartilage erosion, synovial hyperplasia, and inflammatory cell infiltration.</w:t>
      </w:r>
    </w:p>
    <w:p w14:paraId="3DE36774" w14:textId="77777777" w:rsidR="008B17AE" w:rsidRDefault="008B17AE" w:rsidP="008B17AE">
      <w:pPr>
        <w:pStyle w:val="ListParagraph"/>
        <w:spacing w:line="240" w:lineRule="auto"/>
        <w:ind w:left="792"/>
        <w:rPr>
          <w:rFonts w:asciiTheme="majorBidi" w:hAnsiTheme="majorBidi" w:cstheme="majorBidi"/>
          <w:sz w:val="28"/>
          <w:szCs w:val="28"/>
        </w:rPr>
      </w:pPr>
    </w:p>
    <w:p w14:paraId="5931AE03" w14:textId="1E61AEDF" w:rsidR="00A65EB1" w:rsidRPr="00A65EB1" w:rsidRDefault="00A65EB1" w:rsidP="00A65EB1">
      <w:pPr>
        <w:pStyle w:val="ListParagraph"/>
        <w:numPr>
          <w:ilvl w:val="1"/>
          <w:numId w:val="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65EB1">
        <w:rPr>
          <w:rFonts w:asciiTheme="majorBidi" w:hAnsiTheme="majorBidi" w:cstheme="majorBidi"/>
          <w:b/>
          <w:bCs/>
          <w:sz w:val="28"/>
          <w:szCs w:val="28"/>
        </w:rPr>
        <w:t>Cytokines (TNF-α, IL-1β, IL-6) ELISA on plasma samples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</w:p>
    <w:p w14:paraId="5FBDE338" w14:textId="77777777" w:rsidR="00A65EB1" w:rsidRPr="00A65EB1" w:rsidRDefault="00A65EB1" w:rsidP="00A65EB1">
      <w:pPr>
        <w:pStyle w:val="ListParagraph"/>
        <w:spacing w:line="240" w:lineRule="auto"/>
        <w:ind w:left="792"/>
        <w:rPr>
          <w:rFonts w:asciiTheme="majorBidi" w:hAnsiTheme="majorBidi" w:cstheme="majorBidi"/>
          <w:sz w:val="28"/>
          <w:szCs w:val="28"/>
        </w:rPr>
      </w:pPr>
    </w:p>
    <w:p w14:paraId="20A6AC9D" w14:textId="0127F10C" w:rsidR="00A65EB1" w:rsidRPr="00A65EB1" w:rsidRDefault="00A65EB1" w:rsidP="00A65EB1">
      <w:pPr>
        <w:pStyle w:val="ListParagraph"/>
        <w:numPr>
          <w:ilvl w:val="1"/>
          <w:numId w:val="2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Molecular parameters:</w:t>
      </w:r>
    </w:p>
    <w:p w14:paraId="3B92387E" w14:textId="77777777" w:rsidR="00A65EB1" w:rsidRPr="00A65EB1" w:rsidRDefault="00A65EB1" w:rsidP="00A65EB1">
      <w:pPr>
        <w:pStyle w:val="ListParagraph"/>
        <w:spacing w:line="240" w:lineRule="auto"/>
        <w:ind w:left="792"/>
        <w:rPr>
          <w:rFonts w:asciiTheme="majorBidi" w:hAnsiTheme="majorBidi" w:cstheme="majorBidi"/>
          <w:sz w:val="28"/>
          <w:szCs w:val="28"/>
        </w:rPr>
      </w:pPr>
    </w:p>
    <w:p w14:paraId="43FECDA2" w14:textId="4D381180" w:rsidR="00107733" w:rsidRPr="00107733" w:rsidRDefault="008B17AE" w:rsidP="00107733">
      <w:pPr>
        <w:pStyle w:val="ListParagraph"/>
        <w:numPr>
          <w:ilvl w:val="2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8B17AE">
        <w:rPr>
          <w:rFonts w:asciiTheme="majorBidi" w:hAnsiTheme="majorBidi" w:cstheme="majorBidi"/>
          <w:b/>
          <w:bCs/>
          <w:sz w:val="28"/>
          <w:szCs w:val="28"/>
        </w:rPr>
        <w:t xml:space="preserve"> Total </w:t>
      </w:r>
      <w:proofErr w:type="spellStart"/>
      <w:r w:rsidRPr="008B17AE">
        <w:rPr>
          <w:rFonts w:asciiTheme="majorBidi" w:hAnsiTheme="majorBidi" w:cstheme="majorBidi"/>
          <w:b/>
          <w:bCs/>
          <w:sz w:val="28"/>
          <w:szCs w:val="28"/>
        </w:rPr>
        <w:t>IκB</w:t>
      </w:r>
      <w:proofErr w:type="spellEnd"/>
      <w:r w:rsidRPr="008B17AE">
        <w:rPr>
          <w:rFonts w:asciiTheme="majorBidi" w:hAnsiTheme="majorBidi" w:cstheme="majorBidi"/>
          <w:b/>
          <w:bCs/>
          <w:sz w:val="28"/>
          <w:szCs w:val="28"/>
        </w:rPr>
        <w:t>α</w:t>
      </w:r>
      <w:r w:rsidRPr="008B17AE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8B17AE">
        <w:rPr>
          <w:rFonts w:asciiTheme="majorBidi" w:hAnsiTheme="majorBidi" w:cstheme="majorBidi"/>
          <w:sz w:val="28"/>
          <w:szCs w:val="28"/>
        </w:rPr>
        <w:t>snap-freeze synovial tissue and homogenize with inhibitors to prevent degradation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="00DA5569" w:rsidRPr="00DA5569">
        <w:rPr>
          <w:rFonts w:asciiTheme="majorBidi" w:hAnsiTheme="majorBidi" w:cstheme="majorBidi"/>
          <w:b/>
          <w:bCs/>
          <w:sz w:val="28"/>
          <w:szCs w:val="28"/>
        </w:rPr>
        <w:t>Western Blot</w:t>
      </w:r>
      <w:r w:rsidR="00DA5569" w:rsidRPr="00DA5569">
        <w:rPr>
          <w:rFonts w:asciiTheme="majorBidi" w:hAnsiTheme="majorBidi" w:cstheme="majorBidi"/>
          <w:sz w:val="28"/>
          <w:szCs w:val="28"/>
        </w:rPr>
        <w:t xml:space="preserve"> using an antibody that detects </w:t>
      </w:r>
      <w:proofErr w:type="spellStart"/>
      <w:r w:rsidR="00DA5569" w:rsidRPr="00DA5569">
        <w:rPr>
          <w:rFonts w:asciiTheme="majorBidi" w:hAnsiTheme="majorBidi" w:cstheme="majorBidi"/>
          <w:sz w:val="28"/>
          <w:szCs w:val="28"/>
        </w:rPr>
        <w:t>IκB</w:t>
      </w:r>
      <w:proofErr w:type="spellEnd"/>
      <w:r w:rsidR="00DA5569" w:rsidRPr="00DA5569">
        <w:rPr>
          <w:rFonts w:asciiTheme="majorBidi" w:hAnsiTheme="majorBidi" w:cstheme="majorBidi"/>
          <w:sz w:val="28"/>
          <w:szCs w:val="28"/>
        </w:rPr>
        <w:t>α regardless of phosphorylation state</w:t>
      </w:r>
      <w:r w:rsidR="00DA5569"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="00DA5569" w:rsidRPr="008B17AE">
        <w:rPr>
          <w:rFonts w:asciiTheme="majorBidi" w:hAnsiTheme="majorBidi" w:cstheme="majorBidi"/>
          <w:b/>
          <w:bCs/>
          <w:sz w:val="28"/>
          <w:szCs w:val="28"/>
        </w:rPr>
        <w:t>Lilue</w:t>
      </w:r>
      <w:proofErr w:type="spellEnd"/>
      <w:r w:rsidR="00DA5569" w:rsidRPr="008B17AE">
        <w:rPr>
          <w:rFonts w:asciiTheme="majorBidi" w:hAnsiTheme="majorBidi" w:cstheme="majorBidi"/>
          <w:b/>
          <w:bCs/>
          <w:sz w:val="28"/>
          <w:szCs w:val="28"/>
        </w:rPr>
        <w:t>, J., Müller, U. S., Steinfeldt, T., &amp; Howard, J. C. (2010). Reciprocal virulence and resistance polymorphism in the relationship between </w:t>
      </w:r>
      <w:r w:rsidR="00DA5569" w:rsidRPr="008B17AE">
        <w:rPr>
          <w:rFonts w:asciiTheme="majorBidi" w:hAnsiTheme="majorBidi" w:cstheme="majorBidi"/>
          <w:b/>
          <w:bCs/>
          <w:i/>
          <w:iCs/>
          <w:sz w:val="28"/>
          <w:szCs w:val="28"/>
        </w:rPr>
        <w:t>Toxoplasma gondii</w:t>
      </w:r>
      <w:r w:rsidR="00DA5569" w:rsidRPr="008B17AE">
        <w:rPr>
          <w:rFonts w:asciiTheme="majorBidi" w:hAnsiTheme="majorBidi" w:cstheme="majorBidi"/>
          <w:b/>
          <w:bCs/>
          <w:sz w:val="28"/>
          <w:szCs w:val="28"/>
        </w:rPr>
        <w:t> and the house mouse. </w:t>
      </w:r>
      <w:proofErr w:type="spellStart"/>
      <w:r w:rsidR="00DA5569" w:rsidRPr="008B17AE">
        <w:rPr>
          <w:rFonts w:asciiTheme="majorBidi" w:hAnsiTheme="majorBidi" w:cstheme="majorBidi"/>
          <w:b/>
          <w:bCs/>
          <w:i/>
          <w:iCs/>
          <w:sz w:val="28"/>
          <w:szCs w:val="28"/>
        </w:rPr>
        <w:t>PLoS</w:t>
      </w:r>
      <w:proofErr w:type="spellEnd"/>
      <w:r w:rsidR="00DA5569" w:rsidRPr="008B17A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Pathogens</w:t>
      </w:r>
      <w:r w:rsidR="00DA5569" w:rsidRPr="008B17AE">
        <w:rPr>
          <w:rFonts w:asciiTheme="majorBidi" w:hAnsiTheme="majorBidi" w:cstheme="majorBidi"/>
          <w:b/>
          <w:bCs/>
          <w:sz w:val="28"/>
          <w:szCs w:val="28"/>
        </w:rPr>
        <w:t>, *6*(7), e1000985. </w:t>
      </w:r>
      <w:hyperlink r:id="rId5" w:tgtFrame="_blank" w:history="1">
        <w:r w:rsidR="00DA5569" w:rsidRPr="008B17AE">
          <w:rPr>
            <w:rStyle w:val="Hyperlink"/>
            <w:rFonts w:asciiTheme="majorBidi" w:hAnsiTheme="majorBidi" w:cstheme="majorBidi"/>
            <w:b/>
            <w:bCs/>
            <w:sz w:val="28"/>
            <w:szCs w:val="28"/>
          </w:rPr>
          <w:t>https://doi.org/10.1371/journal.ppat.1000985</w:t>
        </w:r>
      </w:hyperlink>
    </w:p>
    <w:p w14:paraId="40113D64" w14:textId="77777777" w:rsidR="00DA5569" w:rsidRDefault="00DA5569" w:rsidP="00DA5569">
      <w:pPr>
        <w:pStyle w:val="ListParagraph"/>
        <w:spacing w:line="240" w:lineRule="auto"/>
        <w:ind w:left="1224"/>
        <w:rPr>
          <w:rFonts w:asciiTheme="majorBidi" w:hAnsiTheme="majorBidi" w:cstheme="majorBidi"/>
          <w:b/>
          <w:bCs/>
          <w:sz w:val="28"/>
          <w:szCs w:val="28"/>
        </w:rPr>
      </w:pPr>
    </w:p>
    <w:p w14:paraId="5117339F" w14:textId="10A219C0" w:rsidR="00A65EB1" w:rsidRPr="00107733" w:rsidRDefault="00DA5569" w:rsidP="00107733">
      <w:pPr>
        <w:pStyle w:val="ListParagraph"/>
        <w:numPr>
          <w:ilvl w:val="2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DA5569">
        <w:rPr>
          <w:rFonts w:asciiTheme="majorBidi" w:hAnsiTheme="majorBidi" w:cstheme="majorBidi"/>
          <w:b/>
          <w:bCs/>
          <w:sz w:val="28"/>
          <w:szCs w:val="28"/>
        </w:rPr>
        <w:t>NF-</w:t>
      </w:r>
      <w:proofErr w:type="spellStart"/>
      <w:r w:rsidRPr="00DA5569">
        <w:rPr>
          <w:rFonts w:asciiTheme="majorBidi" w:hAnsiTheme="majorBidi" w:cstheme="majorBidi"/>
          <w:b/>
          <w:bCs/>
          <w:sz w:val="28"/>
          <w:szCs w:val="28"/>
        </w:rPr>
        <w:t>κB</w:t>
      </w:r>
      <w:proofErr w:type="spellEnd"/>
      <w:r w:rsidRPr="00DA5569">
        <w:rPr>
          <w:rFonts w:asciiTheme="majorBidi" w:hAnsiTheme="majorBidi" w:cstheme="majorBidi"/>
          <w:b/>
          <w:bCs/>
          <w:sz w:val="28"/>
          <w:szCs w:val="28"/>
        </w:rPr>
        <w:t xml:space="preserve"> p65 (Nuclear Translocation)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DA5569">
        <w:rPr>
          <w:rFonts w:asciiTheme="majorBidi" w:hAnsiTheme="majorBidi" w:cstheme="majorBidi"/>
          <w:sz w:val="28"/>
          <w:szCs w:val="28"/>
        </w:rPr>
        <w:t>Perform subcellular fractionation on snap-frozen synovial tissue to separate cytoplasmic and nuclear proteins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DA5569">
        <w:rPr>
          <w:rFonts w:asciiTheme="majorBidi" w:hAnsiTheme="majorBidi" w:cstheme="majorBidi"/>
          <w:b/>
          <w:bCs/>
          <w:sz w:val="28"/>
          <w:szCs w:val="28"/>
        </w:rPr>
        <w:t>Western Blot</w:t>
      </w:r>
      <w:r w:rsidRPr="00DA5569">
        <w:rPr>
          <w:rFonts w:asciiTheme="majorBidi" w:hAnsiTheme="majorBidi" w:cstheme="majorBidi"/>
          <w:sz w:val="28"/>
          <w:szCs w:val="28"/>
        </w:rPr>
        <w:t> of nuclear vs. cytoplasmic fraction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A5569">
        <w:rPr>
          <w:rFonts w:asciiTheme="majorBidi" w:hAnsiTheme="majorBidi" w:cstheme="majorBidi"/>
          <w:b/>
          <w:bCs/>
          <w:sz w:val="28"/>
          <w:szCs w:val="28"/>
        </w:rPr>
        <w:t>Liu, T., Zhang, L., Joo, D., &amp; Sun, S.-C. (2017). NF-</w:t>
      </w:r>
      <w:proofErr w:type="spellStart"/>
      <w:r w:rsidRPr="00DA5569">
        <w:rPr>
          <w:rFonts w:asciiTheme="majorBidi" w:hAnsiTheme="majorBidi" w:cstheme="majorBidi"/>
          <w:b/>
          <w:bCs/>
          <w:sz w:val="28"/>
          <w:szCs w:val="28"/>
        </w:rPr>
        <w:t>κB</w:t>
      </w:r>
      <w:proofErr w:type="spellEnd"/>
      <w:r w:rsidRPr="00DA5569">
        <w:rPr>
          <w:rFonts w:asciiTheme="majorBidi" w:hAnsiTheme="majorBidi" w:cstheme="majorBidi"/>
          <w:b/>
          <w:bCs/>
          <w:sz w:val="28"/>
          <w:szCs w:val="28"/>
        </w:rPr>
        <w:t xml:space="preserve"> signaling in inflammation. </w:t>
      </w:r>
      <w:r w:rsidRPr="00DA5569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 of Inflammation Research</w:t>
      </w:r>
      <w:r w:rsidRPr="00DA5569">
        <w:rPr>
          <w:rFonts w:asciiTheme="majorBidi" w:hAnsiTheme="majorBidi" w:cstheme="majorBidi"/>
          <w:b/>
          <w:bCs/>
          <w:sz w:val="28"/>
          <w:szCs w:val="28"/>
        </w:rPr>
        <w:t>, *10*, 23–32. </w:t>
      </w:r>
      <w:hyperlink r:id="rId6" w:tgtFrame="_blank" w:history="1">
        <w:r w:rsidRPr="00DA5569">
          <w:rPr>
            <w:rStyle w:val="Hyperlink"/>
            <w:rFonts w:asciiTheme="majorBidi" w:hAnsiTheme="majorBidi" w:cstheme="majorBidi"/>
            <w:b/>
            <w:bCs/>
            <w:sz w:val="28"/>
            <w:szCs w:val="28"/>
          </w:rPr>
          <w:t>https://doi.org/10.2147/JIR.S105423</w:t>
        </w:r>
      </w:hyperlink>
    </w:p>
    <w:p w14:paraId="1E279937" w14:textId="77777777" w:rsidR="005309AE" w:rsidRPr="004163CC" w:rsidRDefault="005309AE" w:rsidP="004163CC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24C5C613" w14:textId="77777777" w:rsidR="00936B46" w:rsidRDefault="00936B46" w:rsidP="00107733">
      <w:pPr>
        <w:spacing w:line="240" w:lineRule="auto"/>
        <w:jc w:val="both"/>
      </w:pPr>
    </w:p>
    <w:sectPr w:rsidR="00936B46" w:rsidSect="00936B46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1CEF"/>
    <w:multiLevelType w:val="hybridMultilevel"/>
    <w:tmpl w:val="700CF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634D6"/>
    <w:multiLevelType w:val="multilevel"/>
    <w:tmpl w:val="49966D0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0671100">
    <w:abstractNumId w:val="0"/>
  </w:num>
  <w:num w:numId="2" w16cid:durableId="148374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03"/>
    <w:rsid w:val="00107733"/>
    <w:rsid w:val="0015681E"/>
    <w:rsid w:val="001719F7"/>
    <w:rsid w:val="001F229F"/>
    <w:rsid w:val="00326952"/>
    <w:rsid w:val="00364CAB"/>
    <w:rsid w:val="004163CC"/>
    <w:rsid w:val="005309AE"/>
    <w:rsid w:val="00575241"/>
    <w:rsid w:val="006F50A0"/>
    <w:rsid w:val="00703403"/>
    <w:rsid w:val="007C205E"/>
    <w:rsid w:val="008B17AE"/>
    <w:rsid w:val="008C7AF0"/>
    <w:rsid w:val="00936B46"/>
    <w:rsid w:val="0099759D"/>
    <w:rsid w:val="00A243B7"/>
    <w:rsid w:val="00A65EB1"/>
    <w:rsid w:val="00AC5653"/>
    <w:rsid w:val="00C453AD"/>
    <w:rsid w:val="00DA5569"/>
    <w:rsid w:val="00F5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BFFD"/>
  <w15:chartTrackingRefBased/>
  <w15:docId w15:val="{C9FE1B28-8270-476C-9A8F-45CA80F9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B46"/>
  </w:style>
  <w:style w:type="paragraph" w:styleId="Heading1">
    <w:name w:val="heading 1"/>
    <w:basedOn w:val="Normal"/>
    <w:next w:val="Normal"/>
    <w:link w:val="Heading1Char"/>
    <w:uiPriority w:val="9"/>
    <w:qFormat/>
    <w:rsid w:val="007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4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17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2147/JIR.S105423" TargetMode="External"/><Relationship Id="rId5" Type="http://schemas.openxmlformats.org/officeDocument/2006/relationships/hyperlink" Target="https://doi.org/10.1371/journal.ppat.10009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750</Words>
  <Characters>4580</Characters>
  <Application>Microsoft Office Word</Application>
  <DocSecurity>0</DocSecurity>
  <Lines>147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اسامه وليد محمد عبد الهادى صبح</dc:creator>
  <cp:keywords/>
  <dc:description/>
  <cp:lastModifiedBy>اسامه وليد محمد عبد الهادى صبح</cp:lastModifiedBy>
  <cp:revision>16</cp:revision>
  <cp:lastPrinted>2025-10-31T12:59:00Z</cp:lastPrinted>
  <dcterms:created xsi:type="dcterms:W3CDTF">2025-10-31T12:02:00Z</dcterms:created>
  <dcterms:modified xsi:type="dcterms:W3CDTF">2025-11-21T00:38:00Z</dcterms:modified>
</cp:coreProperties>
</file>