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C5568" w14:textId="77777777" w:rsidR="000C521F" w:rsidRPr="000C521F" w:rsidRDefault="000C521F" w:rsidP="000C521F">
      <w:r w:rsidRPr="000C521F">
        <w:rPr>
          <w:b/>
          <w:bCs/>
        </w:rPr>
        <w:t>Adjuvant-Induced Arthritis (AA) model</w:t>
      </w:r>
      <w:r w:rsidRPr="000C521F">
        <w:t> and the </w:t>
      </w:r>
      <w:r w:rsidRPr="000C521F">
        <w:rPr>
          <w:b/>
          <w:bCs/>
        </w:rPr>
        <w:t>Collagen-Induced Arthritis (CIA) model</w:t>
      </w:r>
      <w:r w:rsidRPr="000C521F">
        <w:t> are the most appropriate. The choice between them depends on whether your primary focus is on rapid anti-inflammatory screening or on long-term, adaptive immune-mediated disease modification.</w:t>
      </w:r>
    </w:p>
    <w:p w14:paraId="39B51E32" w14:textId="77777777" w:rsidR="000C521F" w:rsidRPr="000C521F" w:rsidRDefault="000C521F" w:rsidP="000C521F">
      <w:r w:rsidRPr="000C521F">
        <w:pict w14:anchorId="451AEB09">
          <v:rect id="_x0000_i1037" style="width:0;height:.75pt" o:hralign="center" o:hrstd="t" o:hr="t" fillcolor="#a0a0a0" stroked="f"/>
        </w:pict>
      </w:r>
    </w:p>
    <w:p w14:paraId="74542C78" w14:textId="77777777" w:rsidR="000C521F" w:rsidRPr="000C521F" w:rsidRDefault="000C521F" w:rsidP="000C521F">
      <w:pPr>
        <w:rPr>
          <w:b/>
          <w:bCs/>
        </w:rPr>
      </w:pPr>
      <w:r w:rsidRPr="000C521F">
        <w:rPr>
          <w:b/>
          <w:bCs/>
        </w:rPr>
        <w:t>1. Adjuvant-Induced Arthritis (AA) Model</w:t>
      </w:r>
    </w:p>
    <w:p w14:paraId="5C3ADC4C" w14:textId="77777777" w:rsidR="000C521F" w:rsidRPr="000C521F" w:rsidRDefault="000C521F" w:rsidP="000C521F">
      <w:r w:rsidRPr="000C521F">
        <w:t>This model is highly recommended for its robust and innate immunity-driven inflammation, making it ideal for screening the anti-inflammatory efficacy of drug combinations.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8"/>
        <w:gridCol w:w="7282"/>
      </w:tblGrid>
      <w:tr w:rsidR="000C521F" w:rsidRPr="000C521F" w14:paraId="47A8782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222E3E" w14:textId="77777777" w:rsidR="000C521F" w:rsidRPr="000C521F" w:rsidRDefault="000C521F" w:rsidP="000C521F">
            <w:r w:rsidRPr="000C521F">
              <w:rPr>
                <w:b/>
                <w:bCs/>
              </w:rPr>
              <w:t>Aspect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54EA2D" w14:textId="77777777" w:rsidR="000C521F" w:rsidRPr="000C521F" w:rsidRDefault="000C521F" w:rsidP="000C521F">
            <w:r w:rsidRPr="000C521F">
              <w:rPr>
                <w:b/>
                <w:bCs/>
              </w:rPr>
              <w:t>Rationale &amp; Reference</w:t>
            </w:r>
          </w:p>
        </w:tc>
      </w:tr>
      <w:tr w:rsidR="000C521F" w:rsidRPr="000C521F" w14:paraId="712782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16EFD3" w14:textId="77777777" w:rsidR="000C521F" w:rsidRPr="000C521F" w:rsidRDefault="000C521F" w:rsidP="000C521F">
            <w:r w:rsidRPr="000C521F">
              <w:rPr>
                <w:b/>
                <w:bCs/>
              </w:rPr>
              <w:t>Induction &amp; Characteristics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FB4232" w14:textId="77777777" w:rsidR="000C521F" w:rsidRPr="000C521F" w:rsidRDefault="000C521F" w:rsidP="000C521F">
            <w:r w:rsidRPr="000C521F">
              <w:t>The AA model is induced by a single injection of </w:t>
            </w:r>
            <w:r w:rsidRPr="000C521F">
              <w:rPr>
                <w:b/>
                <w:bCs/>
              </w:rPr>
              <w:t>Complete Freund's Adjuvant (CFA)</w:t>
            </w:r>
            <w:r w:rsidRPr="000C521F">
              <w:t> containing heat-killed mycobacteria, leading to a rapid onset of robust systemic inflammation within 10-14 days [</w:t>
            </w:r>
            <w:r w:rsidRPr="000C521F">
              <w:rPr>
                <w:b/>
                <w:bCs/>
              </w:rPr>
              <w:t>Adjuvants.pdf, Page 6</w:t>
            </w:r>
            <w:r w:rsidRPr="000C521F">
              <w:t>].</w:t>
            </w:r>
          </w:p>
        </w:tc>
      </w:tr>
      <w:tr w:rsidR="000C521F" w:rsidRPr="000C521F" w14:paraId="194404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C58E84" w14:textId="77777777" w:rsidR="000C521F" w:rsidRPr="000C521F" w:rsidRDefault="000C521F" w:rsidP="000C521F">
            <w:r w:rsidRPr="000C521F">
              <w:rPr>
                <w:b/>
                <w:bCs/>
              </w:rPr>
              <w:t>Innate Immune Activation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F90BBD" w14:textId="77777777" w:rsidR="000C521F" w:rsidRPr="000C521F" w:rsidRDefault="000C521F" w:rsidP="000C521F">
            <w:r w:rsidRPr="000C521F">
              <w:t>The model operates primarily through </w:t>
            </w:r>
            <w:r w:rsidRPr="000C521F">
              <w:rPr>
                <w:b/>
                <w:bCs/>
              </w:rPr>
              <w:t>innate immune activation</w:t>
            </w:r>
            <w:r w:rsidRPr="000C521F">
              <w:t>, where mycobacterial components stimulate TLR signaling and inflammasome pathways, driving robust production of pro-inflammatory cytokines like IL-1β [</w:t>
            </w:r>
            <w:r w:rsidRPr="000C521F">
              <w:rPr>
                <w:b/>
                <w:bCs/>
              </w:rPr>
              <w:t>Adjuvants.pdf, Page 6</w:t>
            </w:r>
            <w:r w:rsidRPr="000C521F">
              <w:t>].</w:t>
            </w:r>
          </w:p>
        </w:tc>
      </w:tr>
      <w:tr w:rsidR="000C521F" w:rsidRPr="000C521F" w14:paraId="3AAEDB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6C028D" w14:textId="77777777" w:rsidR="000C521F" w:rsidRPr="000C521F" w:rsidRDefault="000C521F" w:rsidP="000C521F">
            <w:r w:rsidRPr="000C521F">
              <w:rPr>
                <w:b/>
                <w:bCs/>
              </w:rPr>
              <w:t>Utility for Anti-inflammatory Screening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AAB358" w14:textId="77777777" w:rsidR="000C521F" w:rsidRPr="000C521F" w:rsidRDefault="000C521F" w:rsidP="000C521F">
            <w:r w:rsidRPr="000C521F">
              <w:t>The AA model is explicitly cited as being particularly valuable for "</w:t>
            </w:r>
            <w:r w:rsidRPr="000C521F">
              <w:rPr>
                <w:b/>
                <w:bCs/>
              </w:rPr>
              <w:t>evaluating broad-spectrum anti-inflammatory compounds</w:t>
            </w:r>
            <w:r w:rsidRPr="000C521F">
              <w:t>" [</w:t>
            </w:r>
            <w:r w:rsidRPr="000C521F">
              <w:rPr>
                <w:b/>
                <w:bCs/>
              </w:rPr>
              <w:t>Adjuvants.pdf, Page 6</w:t>
            </w:r>
            <w:r w:rsidRPr="000C521F">
              <w:t>]. This aligns perfectly with the goal of testing a combination therapy.</w:t>
            </w:r>
          </w:p>
        </w:tc>
      </w:tr>
      <w:tr w:rsidR="000C521F" w:rsidRPr="000C521F" w14:paraId="231837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2602F3" w14:textId="77777777" w:rsidR="000C521F" w:rsidRPr="000C521F" w:rsidRDefault="000C521F" w:rsidP="000C521F">
            <w:r w:rsidRPr="000C521F">
              <w:rPr>
                <w:b/>
                <w:bCs/>
              </w:rPr>
              <w:t>Mechanistic Alignment with PEA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4C1041" w14:textId="77777777" w:rsidR="000C521F" w:rsidRPr="000C521F" w:rsidRDefault="000C521F" w:rsidP="000C521F">
            <w:r w:rsidRPr="000C521F">
              <w:t>PEA exerts its anti-inflammatory effects partly through activation of the </w:t>
            </w:r>
            <w:r w:rsidRPr="000C521F">
              <w:rPr>
                <w:b/>
                <w:bCs/>
              </w:rPr>
              <w:t>PPAR-α receptor</w:t>
            </w:r>
            <w:r w:rsidRPr="000C521F">
              <w:t>, leading to downregulation of pro-inflammatory cytokines like TNF-α and IL-6, and through its mast cell-stabilizing properties [</w:t>
            </w:r>
            <w:r w:rsidRPr="000C521F">
              <w:rPr>
                <w:b/>
                <w:bCs/>
              </w:rPr>
              <w:t>Aloe et al., CNS &amp; Neurological Disorders - Drug Targets, 2013</w:t>
            </w:r>
            <w:r w:rsidRPr="000C521F">
              <w:t>]. The innate immune focus of the AA model provides a relevant system to test this mechanism.</w:t>
            </w:r>
          </w:p>
        </w:tc>
      </w:tr>
      <w:tr w:rsidR="000C521F" w:rsidRPr="000C521F" w14:paraId="02686E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0D51F7" w14:textId="77777777" w:rsidR="000C521F" w:rsidRPr="000C521F" w:rsidRDefault="000C521F" w:rsidP="000C521F">
            <w:r w:rsidRPr="000C521F">
              <w:rPr>
                <w:b/>
                <w:bCs/>
              </w:rPr>
              <w:lastRenderedPageBreak/>
              <w:t>Precedent for Steroid-Sparing Research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0E7341" w14:textId="77777777" w:rsidR="000C521F" w:rsidRPr="000C521F" w:rsidRDefault="000C521F" w:rsidP="000C521F">
            <w:r w:rsidRPr="000C521F">
              <w:t xml:space="preserve">A recent study demonstrated the steroid-sparing concept in the AA model by showing that a combination of half-doses of </w:t>
            </w:r>
            <w:proofErr w:type="spellStart"/>
            <w:r w:rsidRPr="000C521F">
              <w:t>piperine</w:t>
            </w:r>
            <w:proofErr w:type="spellEnd"/>
            <w:r w:rsidRPr="000C521F">
              <w:t xml:space="preserve"> and prednisolone was more effective than full doses of either drug alone in reducing clinical and biochemical markers of arthritis [</w:t>
            </w:r>
            <w:r w:rsidRPr="000C521F">
              <w:rPr>
                <w:b/>
                <w:bCs/>
              </w:rPr>
              <w:t xml:space="preserve">Gautam et al., </w:t>
            </w:r>
            <w:proofErr w:type="spellStart"/>
            <w:r w:rsidRPr="000C521F">
              <w:rPr>
                <w:b/>
                <w:bCs/>
              </w:rPr>
              <w:t>Inflammopharmacology</w:t>
            </w:r>
            <w:proofErr w:type="spellEnd"/>
            <w:r w:rsidRPr="000C521F">
              <w:rPr>
                <w:b/>
                <w:bCs/>
              </w:rPr>
              <w:t>, 2025</w:t>
            </w:r>
            <w:r w:rsidRPr="000C521F">
              <w:t>]. This provides a direct experimental precedent for your research design.</w:t>
            </w:r>
          </w:p>
        </w:tc>
      </w:tr>
    </w:tbl>
    <w:p w14:paraId="7B693DE0" w14:textId="77777777" w:rsidR="000C521F" w:rsidRPr="000C521F" w:rsidRDefault="000C521F" w:rsidP="000C521F">
      <w:r w:rsidRPr="000C521F">
        <w:pict w14:anchorId="34B7A045">
          <v:rect id="_x0000_i1038" style="width:0;height:.75pt" o:hralign="center" o:hrstd="t" o:hr="t" fillcolor="#a0a0a0" stroked="f"/>
        </w:pict>
      </w:r>
    </w:p>
    <w:p w14:paraId="0F77B257" w14:textId="77777777" w:rsidR="000C521F" w:rsidRPr="000C521F" w:rsidRDefault="000C521F" w:rsidP="000C521F">
      <w:pPr>
        <w:rPr>
          <w:b/>
          <w:bCs/>
        </w:rPr>
      </w:pPr>
      <w:r w:rsidRPr="000C521F">
        <w:rPr>
          <w:b/>
          <w:bCs/>
        </w:rPr>
        <w:t>2. Collagen-Induced Arthritis (CIA) Model</w:t>
      </w:r>
    </w:p>
    <w:p w14:paraId="7E0176AA" w14:textId="77777777" w:rsidR="000C521F" w:rsidRPr="000C521F" w:rsidRDefault="000C521F" w:rsidP="000C521F">
      <w:r w:rsidRPr="000C521F">
        <w:t xml:space="preserve">The CIA model is the gold standard for autoimmune-driven RA research and is ideal for studying the impact of </w:t>
      </w:r>
      <w:proofErr w:type="gramStart"/>
      <w:r w:rsidRPr="000C521F">
        <w:t>a therapy on</w:t>
      </w:r>
      <w:proofErr w:type="gramEnd"/>
      <w:r w:rsidRPr="000C521F">
        <w:t xml:space="preserve"> chronic, adaptive immune-mediated joint pathology.</w:t>
      </w:r>
    </w:p>
    <w:tbl>
      <w:tblPr>
        <w:tblpPr w:leftFromText="180" w:rightFromText="180" w:vertAnchor="text" w:tblpY="1"/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7268"/>
      </w:tblGrid>
      <w:tr w:rsidR="000C521F" w:rsidRPr="000C521F" w14:paraId="051290EE" w14:textId="77777777" w:rsidTr="000C521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324767" w14:textId="77777777" w:rsidR="000C521F" w:rsidRPr="000C521F" w:rsidRDefault="000C521F" w:rsidP="000C521F">
            <w:r w:rsidRPr="000C521F">
              <w:rPr>
                <w:b/>
                <w:bCs/>
              </w:rPr>
              <w:t>Aspect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EA06C5" w14:textId="77777777" w:rsidR="000C521F" w:rsidRPr="000C521F" w:rsidRDefault="000C521F" w:rsidP="000C521F">
            <w:r w:rsidRPr="000C521F">
              <w:rPr>
                <w:b/>
                <w:bCs/>
              </w:rPr>
              <w:t>Rationale &amp; Reference</w:t>
            </w:r>
          </w:p>
        </w:tc>
      </w:tr>
      <w:tr w:rsidR="000C521F" w:rsidRPr="000C521F" w14:paraId="75BDF829" w14:textId="77777777" w:rsidTr="000C52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4EBA60" w14:textId="77777777" w:rsidR="000C521F" w:rsidRPr="000C521F" w:rsidRDefault="000C521F" w:rsidP="000C521F">
            <w:r w:rsidRPr="000C521F">
              <w:rPr>
                <w:b/>
                <w:bCs/>
              </w:rPr>
              <w:t>Induction &amp; Characteristics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50CC64" w14:textId="77777777" w:rsidR="000C521F" w:rsidRPr="000C521F" w:rsidRDefault="000C521F" w:rsidP="000C521F">
            <w:r w:rsidRPr="000C521F">
              <w:t>The CIA model is induced by immunizing susceptible rodents with </w:t>
            </w:r>
            <w:r w:rsidRPr="000C521F">
              <w:rPr>
                <w:b/>
                <w:bCs/>
              </w:rPr>
              <w:t>type II collagen emulsified in CFA</w:t>
            </w:r>
            <w:r w:rsidRPr="000C521F">
              <w:t>, leading to a chronic disease involving both humoral (autoantibodies) and cellular immune responses [</w:t>
            </w:r>
            <w:r w:rsidRPr="000C521F">
              <w:rPr>
                <w:b/>
                <w:bCs/>
              </w:rPr>
              <w:t>Adjuvants.pdf, Page 3</w:t>
            </w:r>
            <w:r w:rsidRPr="000C521F">
              <w:t>].</w:t>
            </w:r>
          </w:p>
        </w:tc>
      </w:tr>
      <w:tr w:rsidR="000C521F" w:rsidRPr="000C521F" w14:paraId="2D645E67" w14:textId="77777777" w:rsidTr="000C52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E622F3" w14:textId="77777777" w:rsidR="000C521F" w:rsidRPr="000C521F" w:rsidRDefault="000C521F" w:rsidP="000C521F">
            <w:r w:rsidRPr="000C521F">
              <w:rPr>
                <w:b/>
                <w:bCs/>
              </w:rPr>
              <w:t>Pathological Relevance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D78709" w14:textId="77777777" w:rsidR="000C521F" w:rsidRPr="000C521F" w:rsidRDefault="000C521F" w:rsidP="000C521F">
            <w:r w:rsidRPr="000C521F">
              <w:t>This model closely mimics human RA pathology, exhibiting key features like </w:t>
            </w:r>
            <w:r w:rsidRPr="000C521F">
              <w:rPr>
                <w:b/>
                <w:bCs/>
              </w:rPr>
              <w:t>synovial hyperplasia, pannus formation, and cartilage and bone destruction</w:t>
            </w:r>
            <w:r w:rsidRPr="000C521F">
              <w:t> [</w:t>
            </w:r>
            <w:r w:rsidRPr="000C521F">
              <w:rPr>
                <w:b/>
                <w:bCs/>
              </w:rPr>
              <w:t>Adjuvants.pdf, Page 3</w:t>
            </w:r>
            <w:r w:rsidRPr="000C521F">
              <w:t>].</w:t>
            </w:r>
          </w:p>
        </w:tc>
      </w:tr>
      <w:tr w:rsidR="000C521F" w:rsidRPr="000C521F" w14:paraId="74C42D78" w14:textId="77777777" w:rsidTr="000C52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867240" w14:textId="77777777" w:rsidR="000C521F" w:rsidRPr="000C521F" w:rsidRDefault="000C521F" w:rsidP="000C521F">
            <w:r w:rsidRPr="000C521F">
              <w:rPr>
                <w:b/>
                <w:bCs/>
              </w:rPr>
              <w:t>Utility for Disease-Modifying Assessment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DA037B" w14:textId="77777777" w:rsidR="000C521F" w:rsidRPr="000C521F" w:rsidRDefault="000C521F" w:rsidP="000C521F">
            <w:r w:rsidRPr="000C521F">
              <w:t>The CIA model is "generally preferred for assessing effects on adaptive immunity and chronic joint damage" and is ideal for "</w:t>
            </w:r>
            <w:r w:rsidRPr="000C521F">
              <w:rPr>
                <w:b/>
                <w:bCs/>
              </w:rPr>
              <w:t>evaluating disease-modifying potential</w:t>
            </w:r>
            <w:r w:rsidRPr="000C521F">
              <w:t>" [</w:t>
            </w:r>
            <w:r w:rsidRPr="000C521F">
              <w:rPr>
                <w:b/>
                <w:bCs/>
              </w:rPr>
              <w:t>Adjuvants.pdf, Page 6, 8</w:t>
            </w:r>
            <w:r w:rsidRPr="000C521F">
              <w:t>]. This is crucial if your goal is to show that PEA allows for lower steroid doses without sacrificing long-term joint protection.</w:t>
            </w:r>
          </w:p>
        </w:tc>
      </w:tr>
      <w:tr w:rsidR="000C521F" w:rsidRPr="000C521F" w14:paraId="70FA4182" w14:textId="77777777" w:rsidTr="000C52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113FBE" w14:textId="77777777" w:rsidR="000C521F" w:rsidRPr="000C521F" w:rsidRDefault="000C521F" w:rsidP="000C521F">
            <w:r w:rsidRPr="000C521F">
              <w:rPr>
                <w:b/>
                <w:bCs/>
              </w:rPr>
              <w:t>Mechanistic Alignment with PEA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C72C46" w14:textId="77777777" w:rsidR="000C521F" w:rsidRPr="000C521F" w:rsidRDefault="000C521F" w:rsidP="000C521F">
            <w:r w:rsidRPr="000C521F">
              <w:t>Beyond innate immunity, PEA has demonstrated immunomodulatory effects on T-cell responses. The CIA model, with its strong </w:t>
            </w:r>
            <w:r w:rsidRPr="000C521F">
              <w:rPr>
                <w:b/>
                <w:bCs/>
              </w:rPr>
              <w:t>Th1 and Th17 polarization</w:t>
            </w:r>
            <w:r w:rsidRPr="000C521F">
              <w:t xml:space="preserve">, is an excellent system to investigate if PEA can modulate </w:t>
            </w:r>
            <w:r w:rsidRPr="000C521F">
              <w:lastRenderedPageBreak/>
              <w:t>this adaptive immune axis, thereby enhancing the effect of prednisolone [</w:t>
            </w:r>
            <w:r w:rsidRPr="000C521F">
              <w:rPr>
                <w:b/>
                <w:bCs/>
              </w:rPr>
              <w:t xml:space="preserve">Esposito et al., </w:t>
            </w:r>
            <w:proofErr w:type="spellStart"/>
            <w:r w:rsidRPr="000C521F">
              <w:rPr>
                <w:b/>
                <w:bCs/>
              </w:rPr>
              <w:t>PLoS</w:t>
            </w:r>
            <w:proofErr w:type="spellEnd"/>
            <w:r w:rsidRPr="000C521F">
              <w:rPr>
                <w:b/>
                <w:bCs/>
              </w:rPr>
              <w:t xml:space="preserve"> ONE, 2014</w:t>
            </w:r>
            <w:r w:rsidRPr="000C521F">
              <w:t>].</w:t>
            </w:r>
          </w:p>
        </w:tc>
      </w:tr>
    </w:tbl>
    <w:p w14:paraId="4BB00E63" w14:textId="5B060D05" w:rsidR="000C521F" w:rsidRPr="000C521F" w:rsidRDefault="000C521F" w:rsidP="000C521F">
      <w:pPr>
        <w:rPr>
          <w:b/>
          <w:bCs/>
        </w:rPr>
      </w:pPr>
      <w:r>
        <w:rPr>
          <w:b/>
          <w:bCs/>
        </w:rPr>
        <w:lastRenderedPageBreak/>
        <w:br w:type="textWrapping" w:clear="all"/>
      </w:r>
      <w:r w:rsidRPr="000C521F">
        <w:rPr>
          <w:b/>
          <w:bCs/>
        </w:rPr>
        <w:t>Summary and Final Recommendation</w:t>
      </w:r>
    </w:p>
    <w:p w14:paraId="3C24D70A" w14:textId="77777777" w:rsidR="000C521F" w:rsidRPr="000C521F" w:rsidRDefault="000C521F" w:rsidP="000C521F">
      <w:pPr>
        <w:numPr>
          <w:ilvl w:val="0"/>
          <w:numId w:val="1"/>
        </w:numPr>
      </w:pPr>
      <w:r w:rsidRPr="000C521F">
        <w:rPr>
          <w:b/>
          <w:bCs/>
        </w:rPr>
        <w:t>For a rapid, highly reproducible study focused squarely on demonstrating the anti-inflammatory synergy between PEA and prednisolone</w:t>
      </w:r>
      <w:r w:rsidRPr="000C521F">
        <w:t>, the </w:t>
      </w:r>
      <w:r w:rsidRPr="000C521F">
        <w:rPr>
          <w:b/>
          <w:bCs/>
        </w:rPr>
        <w:t>AA model</w:t>
      </w:r>
      <w:r w:rsidRPr="000C521F">
        <w:t> is an excellent choice due to its potent, innate-driven inflammation and direct precedent in steroid-sparing research.</w:t>
      </w:r>
    </w:p>
    <w:p w14:paraId="6C5A63C3" w14:textId="77777777" w:rsidR="000C521F" w:rsidRPr="000C521F" w:rsidRDefault="000C521F" w:rsidP="000C521F">
      <w:pPr>
        <w:numPr>
          <w:ilvl w:val="0"/>
          <w:numId w:val="1"/>
        </w:numPr>
      </w:pPr>
      <w:r w:rsidRPr="000C521F">
        <w:rPr>
          <w:b/>
          <w:bCs/>
        </w:rPr>
        <w:t>To investigate whether the PEA/prednisolone combination can modify the long-term autoimmune course of the disease and provide protection against chronic joint destruction</w:t>
      </w:r>
      <w:r w:rsidRPr="000C521F">
        <w:t>, the </w:t>
      </w:r>
      <w:r w:rsidRPr="000C521F">
        <w:rPr>
          <w:b/>
          <w:bCs/>
        </w:rPr>
        <w:t>CIA model</w:t>
      </w:r>
      <w:r w:rsidRPr="000C521F">
        <w:t> is the superior and more clinically representative choice.</w:t>
      </w:r>
    </w:p>
    <w:p w14:paraId="62B21477" w14:textId="77777777" w:rsidR="000C521F" w:rsidRPr="000C521F" w:rsidRDefault="000C521F" w:rsidP="000C521F">
      <w:r w:rsidRPr="000C521F">
        <w:t xml:space="preserve">Both models are CFA-dependent and will provide a robust platform for your research. The decision ultimately rests on the specific aspect of "dose reduction" you wish to </w:t>
      </w:r>
      <w:proofErr w:type="gramStart"/>
      <w:r w:rsidRPr="000C521F">
        <w:t>emphasize:</w:t>
      </w:r>
      <w:proofErr w:type="gramEnd"/>
      <w:r w:rsidRPr="000C521F">
        <w:t xml:space="preserve"> immediate anti-inflammatory efficacy (AA) or long-term disease modification (CIA).</w:t>
      </w:r>
    </w:p>
    <w:p w14:paraId="041487FE" w14:textId="77777777" w:rsidR="00A243B7" w:rsidRDefault="00A243B7"/>
    <w:sectPr w:rsidR="00A243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A1005B"/>
    <w:multiLevelType w:val="multilevel"/>
    <w:tmpl w:val="931C2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2131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A52"/>
    <w:rsid w:val="000C521F"/>
    <w:rsid w:val="001719F7"/>
    <w:rsid w:val="00326952"/>
    <w:rsid w:val="007C205E"/>
    <w:rsid w:val="0099759D"/>
    <w:rsid w:val="00A243B7"/>
    <w:rsid w:val="00B11A52"/>
    <w:rsid w:val="00F54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C35494-2B46-42D7-B02C-775A89847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1A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1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1A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A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A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A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A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A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A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1A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1A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A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A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A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A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A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A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1A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1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A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1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1A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1A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A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1A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A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A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A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746</Words>
  <Characters>3585</Characters>
  <Application>Microsoft Office Word</Application>
  <DocSecurity>0</DocSecurity>
  <Lines>298</Lines>
  <Paragraphs>173</Paragraphs>
  <ScaleCrop>false</ScaleCrop>
  <Company/>
  <LinksUpToDate>false</LinksUpToDate>
  <CharactersWithSpaces>4158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اسامه وليد محمد عبد الهادى صبح</dc:creator>
  <cp:keywords/>
  <dc:description/>
  <cp:lastModifiedBy>اسامه وليد محمد عبد الهادى صبح</cp:lastModifiedBy>
  <cp:revision>2</cp:revision>
  <dcterms:created xsi:type="dcterms:W3CDTF">2025-10-31T11:57:00Z</dcterms:created>
  <dcterms:modified xsi:type="dcterms:W3CDTF">2025-10-31T12:02:00Z</dcterms:modified>
</cp:coreProperties>
</file>