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CFC5" w14:textId="77777777" w:rsidR="00A52D98" w:rsidRPr="00A52D98" w:rsidRDefault="00A52D98" w:rsidP="00A52D98">
      <w:pPr>
        <w:rPr>
          <w:b/>
          <w:bCs/>
        </w:rPr>
      </w:pPr>
      <w:r w:rsidRPr="00A52D98">
        <w:rPr>
          <w:b/>
          <w:bCs/>
        </w:rPr>
        <w:t>Comprehensive Guide to Experimentally Inducing Rheumatoid Arthritis in Animal Models for Pharmacology Research</w:t>
      </w:r>
    </w:p>
    <w:p w14:paraId="04559AA4" w14:textId="77777777" w:rsidR="00A52D98" w:rsidRPr="00A52D98" w:rsidRDefault="00A52D98" w:rsidP="00A52D98">
      <w:pPr>
        <w:rPr>
          <w:b/>
          <w:bCs/>
        </w:rPr>
      </w:pPr>
      <w:r w:rsidRPr="00A52D98">
        <w:rPr>
          <w:b/>
          <w:bCs/>
        </w:rPr>
        <w:t>1 Introduction to RA Animal Models and Their Research Value</w:t>
      </w:r>
    </w:p>
    <w:p w14:paraId="631A4737" w14:textId="77777777" w:rsidR="00A52D98" w:rsidRPr="00A52D98" w:rsidRDefault="00A52D98" w:rsidP="00A52D98">
      <w:r w:rsidRPr="00A52D98">
        <w:t>Rheumatoid arthritis is a chronic autoimmune disease characterized by </w:t>
      </w:r>
      <w:r w:rsidRPr="00A52D98">
        <w:rPr>
          <w:b/>
          <w:bCs/>
        </w:rPr>
        <w:t>synovial inflammation</w:t>
      </w:r>
      <w:r w:rsidRPr="00A52D98">
        <w:t>, </w:t>
      </w:r>
      <w:r w:rsidRPr="00A52D98">
        <w:rPr>
          <w:b/>
          <w:bCs/>
        </w:rPr>
        <w:t>cartilage degradation</w:t>
      </w:r>
      <w:r w:rsidRPr="00A52D98">
        <w:t>, and </w:t>
      </w:r>
      <w:r w:rsidRPr="00A52D98">
        <w:rPr>
          <w:b/>
          <w:bCs/>
        </w:rPr>
        <w:t>bone erosion</w:t>
      </w:r>
      <w:r w:rsidRPr="00A52D98">
        <w:t>. Animal models serve as indispensable tools for deciphering its complex pathogenesis and evaluating novel therapeutics. These models replicate key pathological features of human RA through various induction methods, enabling researchers to study disease mechanisms under controlled conditions. The ideal animal model should exhibit </w:t>
      </w:r>
      <w:r w:rsidRPr="00A52D98">
        <w:rPr>
          <w:b/>
          <w:bCs/>
        </w:rPr>
        <w:t>clinical symptoms</w:t>
      </w:r>
      <w:r w:rsidRPr="00A52D98">
        <w:t> and </w:t>
      </w:r>
      <w:r w:rsidRPr="00A52D98">
        <w:rPr>
          <w:b/>
          <w:bCs/>
        </w:rPr>
        <w:t>histopathological changes</w:t>
      </w:r>
      <w:r w:rsidRPr="00A52D98">
        <w:t> comparable to human RA, including synovial hyperplasia (pannus formation), immune cell infiltration, cartilage degradation driven by matrix metalloproteinases (MMPs), and bone erosion mediated by osteoclast activation through the RANKL pathway.</w:t>
      </w:r>
    </w:p>
    <w:p w14:paraId="022AE752" w14:textId="77777777" w:rsidR="00A52D98" w:rsidRPr="00A52D98" w:rsidRDefault="00A52D98" w:rsidP="00A52D98">
      <w:r w:rsidRPr="00A52D98">
        <w:t>Animal models provide valuable platforms for dissecting the </w:t>
      </w:r>
      <w:r w:rsidRPr="00A52D98">
        <w:rPr>
          <w:b/>
          <w:bCs/>
        </w:rPr>
        <w:t>molecular and cellular mechanisms</w:t>
      </w:r>
      <w:r w:rsidRPr="00A52D98">
        <w:t> underlying RA innate immunity, with consistently elevated levels of pro-inflammatory cytokines like TNF-α, IL-1β, IL-6, and IL-17 contributing to joint destruction. When selecting an appropriate model, researchers must consider factors including the </w:t>
      </w:r>
      <w:r w:rsidRPr="00A52D98">
        <w:rPr>
          <w:b/>
          <w:bCs/>
        </w:rPr>
        <w:t>genetic background</w:t>
      </w:r>
      <w:r w:rsidRPr="00A52D98">
        <w:t> of animals, </w:t>
      </w:r>
      <w:r w:rsidRPr="00A52D98">
        <w:rPr>
          <w:b/>
          <w:bCs/>
        </w:rPr>
        <w:t>induction method</w:t>
      </w:r>
      <w:r w:rsidRPr="00A52D98">
        <w:t>, </w:t>
      </w:r>
      <w:r w:rsidRPr="00A52D98">
        <w:rPr>
          <w:b/>
          <w:bCs/>
        </w:rPr>
        <w:t>disease kinetics</w:t>
      </w:r>
      <w:r w:rsidRPr="00A52D98">
        <w:t>, </w:t>
      </w:r>
      <w:r w:rsidRPr="00A52D98">
        <w:rPr>
          <w:b/>
          <w:bCs/>
        </w:rPr>
        <w:t>pathological features</w:t>
      </w:r>
      <w:r w:rsidRPr="00A52D98">
        <w:t>, and how well the model aligns with specific research objectives.</w:t>
      </w:r>
    </w:p>
    <w:p w14:paraId="42F8DC34" w14:textId="77777777" w:rsidR="00A52D98" w:rsidRPr="00A52D98" w:rsidRDefault="00A52D98" w:rsidP="00A52D98">
      <w:pPr>
        <w:rPr>
          <w:b/>
          <w:bCs/>
        </w:rPr>
      </w:pPr>
      <w:r w:rsidRPr="00A52D98">
        <w:rPr>
          <w:b/>
          <w:bCs/>
        </w:rPr>
        <w:t>2 Complete Freund's Adjuvant (CFA) in RA Models</w:t>
      </w:r>
    </w:p>
    <w:p w14:paraId="60247F32" w14:textId="77777777" w:rsidR="00A52D98" w:rsidRPr="00A52D98" w:rsidRDefault="00A52D98" w:rsidP="00A52D98">
      <w:pPr>
        <w:rPr>
          <w:b/>
          <w:bCs/>
        </w:rPr>
      </w:pPr>
      <w:r w:rsidRPr="00A52D98">
        <w:rPr>
          <w:b/>
          <w:bCs/>
        </w:rPr>
        <w:t>2.1 Composition and Characteristics of CFA</w:t>
      </w:r>
    </w:p>
    <w:p w14:paraId="73309CDE" w14:textId="77777777" w:rsidR="00A52D98" w:rsidRPr="00A52D98" w:rsidRDefault="00A52D98" w:rsidP="00A52D98">
      <w:r w:rsidRPr="00A52D98">
        <w:t>Complete Freund's Adjuvant represents a </w:t>
      </w:r>
      <w:r w:rsidRPr="00A52D98">
        <w:rPr>
          <w:b/>
          <w:bCs/>
        </w:rPr>
        <w:t>critical component</w:t>
      </w:r>
      <w:r w:rsidRPr="00A52D98">
        <w:t> in several established RA models, serving as a potent immunostimulant that enhances antigen-specific immune responses. CFA consists of a water-in-oil emulsion containing:</w:t>
      </w:r>
    </w:p>
    <w:p w14:paraId="2AFEEC95" w14:textId="77777777" w:rsidR="00A52D98" w:rsidRPr="00A52D98" w:rsidRDefault="00A52D98" w:rsidP="00A52D98">
      <w:pPr>
        <w:numPr>
          <w:ilvl w:val="0"/>
          <w:numId w:val="1"/>
        </w:numPr>
      </w:pPr>
      <w:r w:rsidRPr="00A52D98">
        <w:rPr>
          <w:b/>
          <w:bCs/>
        </w:rPr>
        <w:t>Mineral oil</w:t>
      </w:r>
      <w:r w:rsidRPr="00A52D98">
        <w:t xml:space="preserve"> (Bayol F or </w:t>
      </w:r>
      <w:proofErr w:type="spellStart"/>
      <w:r w:rsidRPr="00A52D98">
        <w:t>Marcol</w:t>
      </w:r>
      <w:proofErr w:type="spellEnd"/>
      <w:r w:rsidRPr="00A52D98">
        <w:t xml:space="preserve"> 52) as the continuous phase</w:t>
      </w:r>
    </w:p>
    <w:p w14:paraId="10C6D464" w14:textId="77777777" w:rsidR="00A52D98" w:rsidRPr="00A52D98" w:rsidRDefault="00A52D98" w:rsidP="00A52D98">
      <w:pPr>
        <w:numPr>
          <w:ilvl w:val="0"/>
          <w:numId w:val="1"/>
        </w:numPr>
      </w:pPr>
      <w:proofErr w:type="spellStart"/>
      <w:r w:rsidRPr="00A52D98">
        <w:rPr>
          <w:b/>
          <w:bCs/>
        </w:rPr>
        <w:t>Mannide</w:t>
      </w:r>
      <w:proofErr w:type="spellEnd"/>
      <w:r w:rsidRPr="00A52D98">
        <w:rPr>
          <w:b/>
          <w:bCs/>
        </w:rPr>
        <w:t xml:space="preserve"> monooleate</w:t>
      </w:r>
      <w:r w:rsidRPr="00A52D98">
        <w:t> as an emulsifying agent</w:t>
      </w:r>
    </w:p>
    <w:p w14:paraId="36CEC603" w14:textId="77777777" w:rsidR="00A52D98" w:rsidRPr="00A52D98" w:rsidRDefault="00A52D98" w:rsidP="00A52D98">
      <w:pPr>
        <w:numPr>
          <w:ilvl w:val="0"/>
          <w:numId w:val="1"/>
        </w:numPr>
      </w:pPr>
      <w:r w:rsidRPr="00A52D98">
        <w:rPr>
          <w:b/>
          <w:bCs/>
        </w:rPr>
        <w:t>Heat-killed mycobacteria</w:t>
      </w:r>
      <w:r w:rsidRPr="00A52D98">
        <w:t> (typically </w:t>
      </w:r>
      <w:r w:rsidRPr="00A52D98">
        <w:rPr>
          <w:i/>
          <w:iCs/>
        </w:rPr>
        <w:t>Mycobacterium tuberculosis</w:t>
      </w:r>
      <w:r w:rsidRPr="00A52D98">
        <w:t> or </w:t>
      </w:r>
      <w:r w:rsidRPr="00A52D98">
        <w:rPr>
          <w:i/>
          <w:iCs/>
        </w:rPr>
        <w:t xml:space="preserve">M. </w:t>
      </w:r>
      <w:proofErr w:type="spellStart"/>
      <w:r w:rsidRPr="00A52D98">
        <w:rPr>
          <w:i/>
          <w:iCs/>
        </w:rPr>
        <w:t>butyricum</w:t>
      </w:r>
      <w:proofErr w:type="spellEnd"/>
      <w:r w:rsidRPr="00A52D98">
        <w:t>) at concentrations of 0.5-5 mg/mL</w:t>
      </w:r>
    </w:p>
    <w:p w14:paraId="358F3815" w14:textId="77777777" w:rsidR="00A52D98" w:rsidRPr="00A52D98" w:rsidRDefault="00A52D98" w:rsidP="00A52D98">
      <w:proofErr w:type="gramStart"/>
      <w:r w:rsidRPr="00A52D98">
        <w:t>The </w:t>
      </w:r>
      <w:r w:rsidRPr="00A52D98">
        <w:rPr>
          <w:b/>
          <w:bCs/>
        </w:rPr>
        <w:t>mycobacterial</w:t>
      </w:r>
      <w:proofErr w:type="gramEnd"/>
      <w:r w:rsidRPr="00A52D98">
        <w:rPr>
          <w:b/>
          <w:bCs/>
        </w:rPr>
        <w:t xml:space="preserve"> components</w:t>
      </w:r>
      <w:r w:rsidRPr="00A52D98">
        <w:t> provide pathogen-associated molecular patterns (PAMPs) that activate innate immunity through toll-like receptors (TLRs), particularly TLR2 and TLR4. This activation triggers robust antigen presentation and T-cell priming, establishing the immunological foundation for autoimmune responses against joint antigens.</w:t>
      </w:r>
    </w:p>
    <w:p w14:paraId="5267530C" w14:textId="77777777" w:rsidR="00A52D98" w:rsidRPr="00A52D98" w:rsidRDefault="00A52D98" w:rsidP="00A52D98">
      <w:pPr>
        <w:rPr>
          <w:b/>
          <w:bCs/>
        </w:rPr>
      </w:pPr>
      <w:r w:rsidRPr="00A52D98">
        <w:rPr>
          <w:b/>
          <w:bCs/>
        </w:rPr>
        <w:t>2.2 Mechanism of Action in Arthritis Induction</w:t>
      </w:r>
    </w:p>
    <w:p w14:paraId="60E9CFE5" w14:textId="77777777" w:rsidR="00A52D98" w:rsidRPr="00A52D98" w:rsidRDefault="00A52D98" w:rsidP="00A52D98">
      <w:r w:rsidRPr="00A52D98">
        <w:lastRenderedPageBreak/>
        <w:t>CFA functions through multiple </w:t>
      </w:r>
      <w:r w:rsidRPr="00A52D98">
        <w:rPr>
          <w:b/>
          <w:bCs/>
        </w:rPr>
        <w:t>immunological mechanisms</w:t>
      </w:r>
      <w:r w:rsidRPr="00A52D98">
        <w:t> to break tolerance and promote autoimmunity:</w:t>
      </w:r>
    </w:p>
    <w:p w14:paraId="04D96A8C" w14:textId="77777777" w:rsidR="00A52D98" w:rsidRPr="00A52D98" w:rsidRDefault="00A52D98" w:rsidP="00A52D98">
      <w:pPr>
        <w:numPr>
          <w:ilvl w:val="0"/>
          <w:numId w:val="2"/>
        </w:numPr>
      </w:pPr>
      <w:r w:rsidRPr="00A52D98">
        <w:rPr>
          <w:b/>
          <w:bCs/>
        </w:rPr>
        <w:t>Dendritic Cell Activation</w:t>
      </w:r>
      <w:r w:rsidRPr="00A52D98">
        <w:t>: Mycobacterial components activate dendritic cells, enhancing their antigen-presenting capacity and promoting Th1 and Th17 differentiation</w:t>
      </w:r>
    </w:p>
    <w:p w14:paraId="23D934FC" w14:textId="77777777" w:rsidR="00A52D98" w:rsidRPr="00A52D98" w:rsidRDefault="00A52D98" w:rsidP="00A52D98">
      <w:pPr>
        <w:numPr>
          <w:ilvl w:val="0"/>
          <w:numId w:val="2"/>
        </w:numPr>
      </w:pPr>
      <w:r w:rsidRPr="00A52D98">
        <w:rPr>
          <w:b/>
          <w:bCs/>
        </w:rPr>
        <w:t>Inflammasome Activation</w:t>
      </w:r>
      <w:r w:rsidRPr="00A52D98">
        <w:t>: Bacterial cell wall components stimulate NLRP3 inflammasome, leading to IL-1β and IL-18 production</w:t>
      </w:r>
    </w:p>
    <w:p w14:paraId="5ED25CE5" w14:textId="77777777" w:rsidR="00A52D98" w:rsidRPr="00A52D98" w:rsidRDefault="00A52D98" w:rsidP="00A52D98">
      <w:pPr>
        <w:numPr>
          <w:ilvl w:val="0"/>
          <w:numId w:val="2"/>
        </w:numPr>
      </w:pPr>
      <w:r w:rsidRPr="00A52D98">
        <w:rPr>
          <w:b/>
          <w:bCs/>
        </w:rPr>
        <w:t>Enhanced Antigen Persistence</w:t>
      </w:r>
      <w:r w:rsidRPr="00A52D98">
        <w:t>: The water-in-oil emulsion creates a depot effect, slowly releasing antigen over weeks</w:t>
      </w:r>
    </w:p>
    <w:p w14:paraId="4742A39E" w14:textId="77777777" w:rsidR="00A52D98" w:rsidRPr="00A52D98" w:rsidRDefault="00A52D98" w:rsidP="00A52D98">
      <w:pPr>
        <w:numPr>
          <w:ilvl w:val="0"/>
          <w:numId w:val="2"/>
        </w:numPr>
      </w:pPr>
      <w:r w:rsidRPr="00A52D98">
        <w:rPr>
          <w:b/>
          <w:bCs/>
        </w:rPr>
        <w:t>Molecular Mimicry</w:t>
      </w:r>
      <w:r w:rsidRPr="00A52D98">
        <w:t>: Mycobacterial heat shock proteins (HSP65) share epitopes with mammalian HSPs, potentially triggering cross-reactive immune responses</w:t>
      </w:r>
    </w:p>
    <w:p w14:paraId="628BC9D9" w14:textId="77777777" w:rsidR="00A52D98" w:rsidRPr="00A52D98" w:rsidRDefault="00A52D98" w:rsidP="00A52D98">
      <w:pPr>
        <w:rPr>
          <w:b/>
          <w:bCs/>
        </w:rPr>
      </w:pPr>
      <w:r w:rsidRPr="00A52D98">
        <w:rPr>
          <w:b/>
          <w:bCs/>
        </w:rPr>
        <w:t>2.3 Applications Across RA Models</w:t>
      </w:r>
    </w:p>
    <w:p w14:paraId="27CB87CA" w14:textId="77777777" w:rsidR="00A52D98" w:rsidRPr="00A52D98" w:rsidRDefault="00A52D98" w:rsidP="00A52D98">
      <w:r w:rsidRPr="00A52D98">
        <w:t>CFA serves distinct roles in different RA induction protocols:</w:t>
      </w:r>
    </w:p>
    <w:p w14:paraId="462510D2" w14:textId="77777777" w:rsidR="00A52D98" w:rsidRPr="00A52D98" w:rsidRDefault="00A52D98" w:rsidP="00A52D98">
      <w:pPr>
        <w:numPr>
          <w:ilvl w:val="0"/>
          <w:numId w:val="3"/>
        </w:numPr>
      </w:pPr>
      <w:r w:rsidRPr="00A52D98">
        <w:rPr>
          <w:b/>
          <w:bCs/>
        </w:rPr>
        <w:t>In CIA Models</w:t>
      </w:r>
      <w:r w:rsidRPr="00A52D98">
        <w:t>: CFA is emulsified with type II collagen for both primary and booster immunizations, providing the necessary adjuvant activity to break immune tolerance to self-antigen</w:t>
      </w:r>
    </w:p>
    <w:p w14:paraId="17032A39" w14:textId="77777777" w:rsidR="00A52D98" w:rsidRPr="00A52D98" w:rsidRDefault="00A52D98" w:rsidP="00A52D98">
      <w:pPr>
        <w:numPr>
          <w:ilvl w:val="0"/>
          <w:numId w:val="3"/>
        </w:numPr>
      </w:pPr>
      <w:r w:rsidRPr="00A52D98">
        <w:rPr>
          <w:b/>
          <w:bCs/>
        </w:rPr>
        <w:t>In AA Models</w:t>
      </w:r>
      <w:r w:rsidRPr="00A52D98">
        <w:t>: CFA alone, without additional antigen, can induce arthritis when injected systemically, particularly in susceptible rat strains</w:t>
      </w:r>
    </w:p>
    <w:p w14:paraId="6F778FB1" w14:textId="77777777" w:rsidR="00A52D98" w:rsidRPr="00A52D98" w:rsidRDefault="00A52D98" w:rsidP="00A52D98">
      <w:pPr>
        <w:numPr>
          <w:ilvl w:val="0"/>
          <w:numId w:val="3"/>
        </w:numPr>
      </w:pPr>
      <w:r w:rsidRPr="00A52D98">
        <w:rPr>
          <w:b/>
          <w:bCs/>
        </w:rPr>
        <w:t>In AIA Models</w:t>
      </w:r>
      <w:r w:rsidRPr="00A52D98">
        <w:t xml:space="preserve">: CFA is used during the systemic sensitization phase to establish robust immune responses against antigens like </w:t>
      </w:r>
      <w:proofErr w:type="spellStart"/>
      <w:r w:rsidRPr="00A52D98">
        <w:t>mBSA</w:t>
      </w:r>
      <w:proofErr w:type="spellEnd"/>
    </w:p>
    <w:p w14:paraId="58D061F9" w14:textId="77777777" w:rsidR="00A52D98" w:rsidRPr="00A52D98" w:rsidRDefault="00A52D98" w:rsidP="00A52D98">
      <w:pPr>
        <w:rPr>
          <w:b/>
          <w:bCs/>
        </w:rPr>
      </w:pPr>
      <w:r w:rsidRPr="00A52D98">
        <w:rPr>
          <w:b/>
          <w:bCs/>
        </w:rPr>
        <w:t>2.4 Practical Considerations and Optimization</w:t>
      </w:r>
    </w:p>
    <w:p w14:paraId="4D4B8438" w14:textId="77777777" w:rsidR="00A52D98" w:rsidRPr="00A52D98" w:rsidRDefault="00A52D98" w:rsidP="00A52D98">
      <w:r w:rsidRPr="00A52D98">
        <w:t>Successful use of CFA requires attention to several </w:t>
      </w:r>
      <w:r w:rsidRPr="00A52D98">
        <w:rPr>
          <w:b/>
          <w:bCs/>
        </w:rPr>
        <w:t>technical aspects</w:t>
      </w:r>
      <w:r w:rsidRPr="00A52D98">
        <w:t>:</w:t>
      </w:r>
    </w:p>
    <w:p w14:paraId="651C2E5C" w14:textId="77777777" w:rsidR="00A52D98" w:rsidRPr="00A52D98" w:rsidRDefault="00A52D98" w:rsidP="00A52D98">
      <w:pPr>
        <w:numPr>
          <w:ilvl w:val="0"/>
          <w:numId w:val="4"/>
        </w:numPr>
      </w:pPr>
      <w:r w:rsidRPr="00A52D98">
        <w:rPr>
          <w:b/>
          <w:bCs/>
        </w:rPr>
        <w:t>Emulsion Stability</w:t>
      </w:r>
      <w:r w:rsidRPr="00A52D98">
        <w:t>: Proper water-in-oil emulsion is critical and can be verified by droplet formation on water surface</w:t>
      </w:r>
    </w:p>
    <w:p w14:paraId="052B6D58" w14:textId="77777777" w:rsidR="00A52D98" w:rsidRPr="00A52D98" w:rsidRDefault="00A52D98" w:rsidP="00A52D98">
      <w:pPr>
        <w:numPr>
          <w:ilvl w:val="0"/>
          <w:numId w:val="4"/>
        </w:numPr>
      </w:pPr>
      <w:r w:rsidRPr="00A52D98">
        <w:rPr>
          <w:b/>
          <w:bCs/>
        </w:rPr>
        <w:t>Mycobacterial Concentration</w:t>
      </w:r>
      <w:r w:rsidRPr="00A52D98">
        <w:t xml:space="preserve">: </w:t>
      </w:r>
      <w:proofErr w:type="gramStart"/>
      <w:r w:rsidRPr="00A52D98">
        <w:t>Typically</w:t>
      </w:r>
      <w:proofErr w:type="gramEnd"/>
      <w:r w:rsidRPr="00A52D98">
        <w:t xml:space="preserve"> 1-4 mg/mL, with higher concentrations increasing arthritis incidence but potentially causing excessive systemic inflammation</w:t>
      </w:r>
    </w:p>
    <w:p w14:paraId="6E0E8E5A" w14:textId="77777777" w:rsidR="00A52D98" w:rsidRPr="00A52D98" w:rsidRDefault="00A52D98" w:rsidP="00A52D98">
      <w:pPr>
        <w:numPr>
          <w:ilvl w:val="0"/>
          <w:numId w:val="4"/>
        </w:numPr>
      </w:pPr>
      <w:r w:rsidRPr="00A52D98">
        <w:rPr>
          <w:b/>
          <w:bCs/>
        </w:rPr>
        <w:t>Injection Volume and Site</w:t>
      </w:r>
      <w:r w:rsidRPr="00A52D98">
        <w:t xml:space="preserve">: Common sites include base of tail (for CIA) or footpad (for AA), with volumes typically 50-200 </w:t>
      </w:r>
      <w:proofErr w:type="spellStart"/>
      <w:r w:rsidRPr="00A52D98">
        <w:t>μL</w:t>
      </w:r>
      <w:proofErr w:type="spellEnd"/>
      <w:r w:rsidRPr="00A52D98">
        <w:t xml:space="preserve"> depending on species</w:t>
      </w:r>
    </w:p>
    <w:p w14:paraId="3F77F42D" w14:textId="77777777" w:rsidR="00A52D98" w:rsidRPr="00A52D98" w:rsidRDefault="00A52D98" w:rsidP="00A52D98">
      <w:pPr>
        <w:numPr>
          <w:ilvl w:val="0"/>
          <w:numId w:val="4"/>
        </w:numPr>
      </w:pPr>
      <w:r w:rsidRPr="00A52D98">
        <w:rPr>
          <w:b/>
          <w:bCs/>
        </w:rPr>
        <w:t>Safety Considerations</w:t>
      </w:r>
      <w:r w:rsidRPr="00A52D98">
        <w:t>: CFA handling requires biosafety level 2 precautions due to mycobacterial components</w:t>
      </w:r>
    </w:p>
    <w:p w14:paraId="77DF4852" w14:textId="77777777" w:rsidR="00A52D98" w:rsidRPr="00A52D98" w:rsidRDefault="00A52D98" w:rsidP="00A52D98">
      <w:pPr>
        <w:rPr>
          <w:b/>
          <w:bCs/>
        </w:rPr>
      </w:pPr>
      <w:r w:rsidRPr="00A52D98">
        <w:rPr>
          <w:b/>
          <w:bCs/>
        </w:rPr>
        <w:t>3 Collagen-Induced Arthritis (CIA) Model</w:t>
      </w:r>
    </w:p>
    <w:p w14:paraId="4BE67A28" w14:textId="77777777" w:rsidR="00A52D98" w:rsidRPr="00A52D98" w:rsidRDefault="00A52D98" w:rsidP="00A52D98">
      <w:pPr>
        <w:rPr>
          <w:b/>
          <w:bCs/>
        </w:rPr>
      </w:pPr>
      <w:r w:rsidRPr="00A52D98">
        <w:rPr>
          <w:b/>
          <w:bCs/>
        </w:rPr>
        <w:lastRenderedPageBreak/>
        <w:t>3.1 Methodology and Induction Protocol</w:t>
      </w:r>
    </w:p>
    <w:p w14:paraId="63E940D9" w14:textId="77777777" w:rsidR="00A52D98" w:rsidRPr="00A52D98" w:rsidRDefault="00A52D98" w:rsidP="00A52D98">
      <w:r w:rsidRPr="00A52D98">
        <w:t>The CIA model is one of the </w:t>
      </w:r>
      <w:r w:rsidRPr="00A52D98">
        <w:rPr>
          <w:b/>
          <w:bCs/>
        </w:rPr>
        <w:t>most widely utilized</w:t>
      </w:r>
      <w:r w:rsidRPr="00A52D98">
        <w:t> and well-characterized experimental models for rheumatoid arthritis research. This model is typically induced in susceptible rodent strains (particularly DBA/1J mice) through immunization with </w:t>
      </w:r>
      <w:r w:rsidRPr="00A52D98">
        <w:rPr>
          <w:b/>
          <w:bCs/>
        </w:rPr>
        <w:t>type II collagen</w:t>
      </w:r>
      <w:r w:rsidRPr="00A52D98">
        <w:t> (CII), the predominant collagen type in articular cartilage. The standard immunization protocol involves:</w:t>
      </w:r>
    </w:p>
    <w:p w14:paraId="0669A964" w14:textId="77777777" w:rsidR="00A52D98" w:rsidRPr="00A52D98" w:rsidRDefault="00A52D98" w:rsidP="00A52D98">
      <w:pPr>
        <w:numPr>
          <w:ilvl w:val="0"/>
          <w:numId w:val="5"/>
        </w:numPr>
      </w:pPr>
      <w:r w:rsidRPr="00A52D98">
        <w:rPr>
          <w:b/>
          <w:bCs/>
        </w:rPr>
        <w:t>Emulsion Preparation</w:t>
      </w:r>
      <w:r w:rsidRPr="00A52D98">
        <w:t>: Chicken or bovine type II collagen is dissolved in 50 mM acetic acid and meticulously emulsified in an equal volume of </w:t>
      </w:r>
      <w:r w:rsidRPr="00A52D98">
        <w:rPr>
          <w:b/>
          <w:bCs/>
        </w:rPr>
        <w:t>Complete Freund's Adjuvant</w:t>
      </w:r>
      <w:r w:rsidRPr="00A52D98">
        <w:t> (CFA) containing heat-killed </w:t>
      </w:r>
      <w:r w:rsidRPr="00A52D98">
        <w:rPr>
          <w:i/>
          <w:iCs/>
        </w:rPr>
        <w:t>Mycobacterium tuberculosis</w:t>
      </w:r>
    </w:p>
    <w:p w14:paraId="1E940BAA" w14:textId="77777777" w:rsidR="00A52D98" w:rsidRPr="00A52D98" w:rsidRDefault="00A52D98" w:rsidP="00A52D98">
      <w:pPr>
        <w:numPr>
          <w:ilvl w:val="0"/>
          <w:numId w:val="5"/>
        </w:numPr>
      </w:pPr>
      <w:r w:rsidRPr="00A52D98">
        <w:rPr>
          <w:b/>
          <w:bCs/>
        </w:rPr>
        <w:t>Primary Immunization</w:t>
      </w:r>
      <w:r w:rsidRPr="00A52D98">
        <w:t>: The emulsion is administered via subcutaneous injection at the base of the tail or along the dorsal surface</w:t>
      </w:r>
    </w:p>
    <w:p w14:paraId="30904449" w14:textId="77777777" w:rsidR="00A52D98" w:rsidRPr="00A52D98" w:rsidRDefault="00A52D98" w:rsidP="00A52D98">
      <w:pPr>
        <w:numPr>
          <w:ilvl w:val="0"/>
          <w:numId w:val="5"/>
        </w:numPr>
      </w:pPr>
      <w:r w:rsidRPr="00A52D98">
        <w:rPr>
          <w:b/>
          <w:bCs/>
        </w:rPr>
        <w:t>Booster Immunization</w:t>
      </w:r>
      <w:r w:rsidRPr="00A52D98">
        <w:t>: After 3 weeks, a booster injection of type II collagen homogenized with </w:t>
      </w:r>
      <w:r w:rsidRPr="00A52D98">
        <w:rPr>
          <w:b/>
          <w:bCs/>
        </w:rPr>
        <w:t>Incomplete Freund's Adjuvant</w:t>
      </w:r>
      <w:r w:rsidRPr="00A52D98">
        <w:t> (IFA) is administered to enhance the immune response</w:t>
      </w:r>
    </w:p>
    <w:p w14:paraId="299881F5" w14:textId="77777777" w:rsidR="00A52D98" w:rsidRPr="00A52D98" w:rsidRDefault="00A52D98" w:rsidP="00A52D98">
      <w:r w:rsidRPr="00A52D98">
        <w:t>Following immunization, animals typically develop </w:t>
      </w:r>
      <w:r w:rsidRPr="00A52D98">
        <w:rPr>
          <w:b/>
          <w:bCs/>
        </w:rPr>
        <w:t>visible clinical signs</w:t>
      </w:r>
      <w:r w:rsidRPr="00A52D98">
        <w:t> of arthritis within 3-4 weeks, characterized by erythema and edema in peripheral joints, particularly the paws.</w:t>
      </w:r>
    </w:p>
    <w:p w14:paraId="5ABE5AE3" w14:textId="77777777" w:rsidR="00A52D98" w:rsidRPr="00A52D98" w:rsidRDefault="00A52D98" w:rsidP="00A52D98">
      <w:pPr>
        <w:rPr>
          <w:b/>
          <w:bCs/>
        </w:rPr>
      </w:pPr>
      <w:r w:rsidRPr="00A52D98">
        <w:rPr>
          <w:b/>
          <w:bCs/>
        </w:rPr>
        <w:t>3.2 Model Characteristics and Applications</w:t>
      </w:r>
    </w:p>
    <w:p w14:paraId="53B189DC" w14:textId="77777777" w:rsidR="00A52D98" w:rsidRPr="00A52D98" w:rsidRDefault="00A52D98" w:rsidP="00A52D98">
      <w:r w:rsidRPr="00A52D98">
        <w:t>The CIA model demonstrates several </w:t>
      </w:r>
      <w:r w:rsidRPr="00A52D98">
        <w:rPr>
          <w:b/>
          <w:bCs/>
        </w:rPr>
        <w:t>distinct advantages</w:t>
      </w:r>
      <w:r w:rsidRPr="00A52D98">
        <w:t> for RA research. It closely mimics human disease pathology by involving both </w:t>
      </w:r>
      <w:r w:rsidRPr="00A52D98">
        <w:rPr>
          <w:b/>
          <w:bCs/>
        </w:rPr>
        <w:t>humoral and cellular immune responses</w:t>
      </w:r>
      <w:r w:rsidRPr="00A52D98">
        <w:t> against a joint-specific antigen. Histopathological examination reveals </w:t>
      </w:r>
      <w:r w:rsidRPr="00A52D98">
        <w:rPr>
          <w:b/>
          <w:bCs/>
        </w:rPr>
        <w:t>synovial hyperplasia</w:t>
      </w:r>
      <w:r w:rsidRPr="00A52D98">
        <w:t>, </w:t>
      </w:r>
      <w:r w:rsidRPr="00A52D98">
        <w:rPr>
          <w:b/>
          <w:bCs/>
        </w:rPr>
        <w:t>immune cell infiltration</w:t>
      </w:r>
      <w:r w:rsidRPr="00A52D98">
        <w:t>, </w:t>
      </w:r>
      <w:r w:rsidRPr="00A52D98">
        <w:rPr>
          <w:b/>
          <w:bCs/>
        </w:rPr>
        <w:t>pannus formation</w:t>
      </w:r>
      <w:r w:rsidRPr="00A52D98">
        <w:t>, and subsequent </w:t>
      </w:r>
      <w:r w:rsidRPr="00A52D98">
        <w:rPr>
          <w:b/>
          <w:bCs/>
        </w:rPr>
        <w:t>cartilage and bone destruction</w:t>
      </w:r>
      <w:r w:rsidRPr="00A52D98">
        <w:t> - all hallmark features of human RA.</w:t>
      </w:r>
    </w:p>
    <w:p w14:paraId="5D029D21" w14:textId="77777777" w:rsidR="00A52D98" w:rsidRPr="00A52D98" w:rsidRDefault="00A52D98" w:rsidP="00A52D98">
      <w:r w:rsidRPr="00A52D98">
        <w:t>The CIA model is particularly valuable for:</w:t>
      </w:r>
    </w:p>
    <w:p w14:paraId="4852DD85" w14:textId="77777777" w:rsidR="00A52D98" w:rsidRPr="00A52D98" w:rsidRDefault="00A52D98" w:rsidP="00A52D98">
      <w:pPr>
        <w:numPr>
          <w:ilvl w:val="0"/>
          <w:numId w:val="6"/>
        </w:numPr>
      </w:pPr>
      <w:r w:rsidRPr="00A52D98">
        <w:rPr>
          <w:b/>
          <w:bCs/>
        </w:rPr>
        <w:t>Screening novel therapeutic compounds</w:t>
      </w:r>
      <w:r w:rsidRPr="00A52D98">
        <w:t> targeting immune pathways</w:t>
      </w:r>
    </w:p>
    <w:p w14:paraId="2E090BB0" w14:textId="77777777" w:rsidR="00A52D98" w:rsidRPr="00A52D98" w:rsidRDefault="00A52D98" w:rsidP="00A52D98">
      <w:pPr>
        <w:numPr>
          <w:ilvl w:val="0"/>
          <w:numId w:val="6"/>
        </w:numPr>
      </w:pPr>
      <w:r w:rsidRPr="00A52D98">
        <w:rPr>
          <w:b/>
          <w:bCs/>
        </w:rPr>
        <w:t>Studying bone erosion mechanisms</w:t>
      </w:r>
      <w:r w:rsidRPr="00A52D98">
        <w:t> and protective interventions</w:t>
      </w:r>
    </w:p>
    <w:p w14:paraId="2C1226A5" w14:textId="77777777" w:rsidR="00A52D98" w:rsidRPr="00A52D98" w:rsidRDefault="00A52D98" w:rsidP="00A52D98">
      <w:pPr>
        <w:numPr>
          <w:ilvl w:val="0"/>
          <w:numId w:val="6"/>
        </w:numPr>
      </w:pPr>
      <w:r w:rsidRPr="00A52D98">
        <w:rPr>
          <w:b/>
          <w:bCs/>
        </w:rPr>
        <w:t>Investigating autoantibody roles</w:t>
      </w:r>
      <w:r w:rsidRPr="00A52D98">
        <w:t> in arthritis pathogenesis</w:t>
      </w:r>
    </w:p>
    <w:p w14:paraId="4F615B43" w14:textId="77777777" w:rsidR="00A52D98" w:rsidRPr="00A52D98" w:rsidRDefault="00A52D98" w:rsidP="00A52D98">
      <w:pPr>
        <w:numPr>
          <w:ilvl w:val="0"/>
          <w:numId w:val="6"/>
        </w:numPr>
      </w:pPr>
      <w:r w:rsidRPr="00A52D98">
        <w:rPr>
          <w:b/>
          <w:bCs/>
        </w:rPr>
        <w:t>Evaluating genetically modified mice</w:t>
      </w:r>
      <w:r w:rsidRPr="00A52D98">
        <w:t> for RA research</w:t>
      </w:r>
    </w:p>
    <w:p w14:paraId="64F6F294" w14:textId="77777777" w:rsidR="00A52D98" w:rsidRPr="00A52D98" w:rsidRDefault="00A52D98" w:rsidP="00A52D98">
      <w:pPr>
        <w:rPr>
          <w:b/>
          <w:bCs/>
        </w:rPr>
      </w:pPr>
      <w:r w:rsidRPr="00A52D98">
        <w:rPr>
          <w:b/>
          <w:bCs/>
        </w:rPr>
        <w:t>4 Serum-Induced Arthritis (SIA) and K/</w:t>
      </w:r>
      <w:proofErr w:type="spellStart"/>
      <w:r w:rsidRPr="00A52D98">
        <w:rPr>
          <w:b/>
          <w:bCs/>
        </w:rPr>
        <w:t>BxN</w:t>
      </w:r>
      <w:proofErr w:type="spellEnd"/>
      <w:r w:rsidRPr="00A52D98">
        <w:rPr>
          <w:b/>
          <w:bCs/>
        </w:rPr>
        <w:t xml:space="preserve"> Model</w:t>
      </w:r>
    </w:p>
    <w:p w14:paraId="70C4FE6A" w14:textId="77777777" w:rsidR="00A52D98" w:rsidRPr="00A52D98" w:rsidRDefault="00A52D98" w:rsidP="00A52D98">
      <w:pPr>
        <w:rPr>
          <w:b/>
          <w:bCs/>
        </w:rPr>
      </w:pPr>
      <w:r w:rsidRPr="00A52D98">
        <w:rPr>
          <w:b/>
          <w:bCs/>
        </w:rPr>
        <w:t>4.1 Principles and Induction Mechanisms</w:t>
      </w:r>
    </w:p>
    <w:p w14:paraId="506122DD" w14:textId="77777777" w:rsidR="00A52D98" w:rsidRPr="00A52D98" w:rsidRDefault="00A52D98" w:rsidP="00A52D98">
      <w:r w:rsidRPr="00A52D98">
        <w:t>The K/</w:t>
      </w:r>
      <w:proofErr w:type="spellStart"/>
      <w:r w:rsidRPr="00A52D98">
        <w:t>BxN</w:t>
      </w:r>
      <w:proofErr w:type="spellEnd"/>
      <w:r w:rsidRPr="00A52D98">
        <w:t xml:space="preserve"> serum-induced arthritis model operates on a </w:t>
      </w:r>
      <w:r w:rsidRPr="00A52D98">
        <w:rPr>
          <w:b/>
          <w:bCs/>
        </w:rPr>
        <w:t>distinct mechanism</w:t>
      </w:r>
      <w:r w:rsidRPr="00A52D98">
        <w:t> compared to CFA-dependent models, relying on the passive transfer of pre-formed autoantibodies from K/</w:t>
      </w:r>
      <w:proofErr w:type="spellStart"/>
      <w:r w:rsidRPr="00A52D98">
        <w:t>BxN</w:t>
      </w:r>
      <w:proofErr w:type="spellEnd"/>
      <w:r w:rsidRPr="00A52D98">
        <w:t xml:space="preserve"> transgenic mice into recipient animals. These transgenic mice spontaneously develop arthritis </w:t>
      </w:r>
      <w:r w:rsidRPr="00A52D98">
        <w:lastRenderedPageBreak/>
        <w:t>due to expression of a </w:t>
      </w:r>
      <w:r w:rsidRPr="00A52D98">
        <w:rPr>
          <w:b/>
          <w:bCs/>
        </w:rPr>
        <w:t>T-cell receptor transgene</w:t>
      </w:r>
      <w:r w:rsidRPr="00A52D98">
        <w:t> (KRN) specific for glucose-6-phosphate isomerase (GPI) presented by the MHC class II molecule Aᵍ⁷ (NOD background).</w:t>
      </w:r>
    </w:p>
    <w:p w14:paraId="398369F4" w14:textId="77777777" w:rsidR="00A52D98" w:rsidRPr="00A52D98" w:rsidRDefault="00A52D98" w:rsidP="00A52D98">
      <w:r w:rsidRPr="00A52D98">
        <w:t>The induction protocol involves:</w:t>
      </w:r>
    </w:p>
    <w:p w14:paraId="01847E2D" w14:textId="77777777" w:rsidR="00A52D98" w:rsidRPr="00A52D98" w:rsidRDefault="00A52D98" w:rsidP="00A52D98">
      <w:pPr>
        <w:numPr>
          <w:ilvl w:val="0"/>
          <w:numId w:val="7"/>
        </w:numPr>
      </w:pPr>
      <w:r w:rsidRPr="00A52D98">
        <w:rPr>
          <w:b/>
          <w:bCs/>
        </w:rPr>
        <w:t>Serum Collection</w:t>
      </w:r>
      <w:r w:rsidRPr="00A52D98">
        <w:t>: Blood is collected from arthritic K/</w:t>
      </w:r>
      <w:proofErr w:type="spellStart"/>
      <w:r w:rsidRPr="00A52D98">
        <w:t>BxN</w:t>
      </w:r>
      <w:proofErr w:type="spellEnd"/>
      <w:r w:rsidRPr="00A52D98">
        <w:t xml:space="preserve"> transgenic mice</w:t>
      </w:r>
    </w:p>
    <w:p w14:paraId="52E9313B" w14:textId="77777777" w:rsidR="00A52D98" w:rsidRPr="00A52D98" w:rsidRDefault="00A52D98" w:rsidP="00A52D98">
      <w:pPr>
        <w:numPr>
          <w:ilvl w:val="0"/>
          <w:numId w:val="7"/>
        </w:numPr>
      </w:pPr>
      <w:r w:rsidRPr="00A52D98">
        <w:rPr>
          <w:b/>
          <w:bCs/>
        </w:rPr>
        <w:t>Passive Transfer</w:t>
      </w:r>
      <w:r w:rsidRPr="00A52D98">
        <w:t>: The serum or purified immunoglobulins are injected intraperitoneally</w:t>
      </w:r>
    </w:p>
    <w:p w14:paraId="571276B4" w14:textId="77777777" w:rsidR="00A52D98" w:rsidRPr="00A52D98" w:rsidRDefault="00A52D98" w:rsidP="00A52D98">
      <w:pPr>
        <w:numPr>
          <w:ilvl w:val="0"/>
          <w:numId w:val="7"/>
        </w:numPr>
      </w:pPr>
      <w:r w:rsidRPr="00A52D98">
        <w:rPr>
          <w:b/>
          <w:bCs/>
        </w:rPr>
        <w:t>Disease Onset</w:t>
      </w:r>
      <w:r w:rsidRPr="00A52D98">
        <w:t>: Recipients typically develop </w:t>
      </w:r>
      <w:r w:rsidRPr="00A52D98">
        <w:rPr>
          <w:b/>
          <w:bCs/>
        </w:rPr>
        <w:t>rapid and synchronized arthritis</w:t>
      </w:r>
      <w:r w:rsidRPr="00A52D98">
        <w:t> within 24-72 hours</w:t>
      </w:r>
    </w:p>
    <w:p w14:paraId="7A60CDA0" w14:textId="77777777" w:rsidR="00A52D98" w:rsidRPr="00A52D98" w:rsidRDefault="00A52D98" w:rsidP="00A52D98">
      <w:pPr>
        <w:rPr>
          <w:b/>
          <w:bCs/>
        </w:rPr>
      </w:pPr>
      <w:r w:rsidRPr="00A52D98">
        <w:rPr>
          <w:b/>
          <w:bCs/>
        </w:rPr>
        <w:t>4.2 Advantages and Research Applications</w:t>
      </w:r>
    </w:p>
    <w:p w14:paraId="6EBD6517" w14:textId="77777777" w:rsidR="00A52D98" w:rsidRPr="00A52D98" w:rsidRDefault="00A52D98" w:rsidP="00A52D98">
      <w:r w:rsidRPr="00A52D98">
        <w:t>The K/</w:t>
      </w:r>
      <w:proofErr w:type="spellStart"/>
      <w:r w:rsidRPr="00A52D98">
        <w:t>BxN</w:t>
      </w:r>
      <w:proofErr w:type="spellEnd"/>
      <w:r w:rsidRPr="00A52D98">
        <w:t xml:space="preserve"> SIA model offers several </w:t>
      </w:r>
      <w:r w:rsidRPr="00A52D98">
        <w:rPr>
          <w:b/>
          <w:bCs/>
        </w:rPr>
        <w:t>unique advantages</w:t>
      </w:r>
      <w:r w:rsidRPr="00A52D98">
        <w:t>:</w:t>
      </w:r>
    </w:p>
    <w:p w14:paraId="72DC07D5" w14:textId="77777777" w:rsidR="00A52D98" w:rsidRPr="00A52D98" w:rsidRDefault="00A52D98" w:rsidP="00A52D98">
      <w:pPr>
        <w:numPr>
          <w:ilvl w:val="0"/>
          <w:numId w:val="8"/>
        </w:numPr>
      </w:pPr>
      <w:r w:rsidRPr="00A52D98">
        <w:rPr>
          <w:b/>
          <w:bCs/>
        </w:rPr>
        <w:t>Rapid and predictable onset</w:t>
      </w:r>
      <w:r w:rsidRPr="00A52D98">
        <w:t> enables precisely timed experimental interventions</w:t>
      </w:r>
    </w:p>
    <w:p w14:paraId="7E25668B" w14:textId="77777777" w:rsidR="00A52D98" w:rsidRPr="00A52D98" w:rsidRDefault="00A52D98" w:rsidP="00A52D98">
      <w:pPr>
        <w:numPr>
          <w:ilvl w:val="0"/>
          <w:numId w:val="8"/>
        </w:numPr>
      </w:pPr>
      <w:r w:rsidRPr="00A52D98">
        <w:t>Ideal for studying the </w:t>
      </w:r>
      <w:r w:rsidRPr="00A52D98">
        <w:rPr>
          <w:b/>
          <w:bCs/>
        </w:rPr>
        <w:t>effector phase</w:t>
      </w:r>
      <w:r w:rsidRPr="00A52D98">
        <w:t> of arthritis and acute inflammatory processes</w:t>
      </w:r>
    </w:p>
    <w:p w14:paraId="7BDBDF8C" w14:textId="77777777" w:rsidR="00A52D98" w:rsidRPr="00A52D98" w:rsidRDefault="00A52D98" w:rsidP="00A52D98">
      <w:pPr>
        <w:numPr>
          <w:ilvl w:val="0"/>
          <w:numId w:val="8"/>
        </w:numPr>
      </w:pPr>
      <w:r w:rsidRPr="00A52D98">
        <w:t>Useful for elucidating roles of </w:t>
      </w:r>
      <w:proofErr w:type="spellStart"/>
      <w:r w:rsidRPr="00A52D98">
        <w:rPr>
          <w:b/>
          <w:bCs/>
        </w:rPr>
        <w:t>Fcγ</w:t>
      </w:r>
      <w:proofErr w:type="spellEnd"/>
      <w:r w:rsidRPr="00A52D98">
        <w:rPr>
          <w:b/>
          <w:bCs/>
        </w:rPr>
        <w:t xml:space="preserve"> receptors</w:t>
      </w:r>
      <w:r w:rsidRPr="00A52D98">
        <w:t>, </w:t>
      </w:r>
      <w:r w:rsidRPr="00A52D98">
        <w:rPr>
          <w:b/>
          <w:bCs/>
        </w:rPr>
        <w:t>complement activation</w:t>
      </w:r>
      <w:r w:rsidRPr="00A52D98">
        <w:t>, and </w:t>
      </w:r>
      <w:r w:rsidRPr="00A52D98">
        <w:rPr>
          <w:b/>
          <w:bCs/>
        </w:rPr>
        <w:t>mast cells</w:t>
      </w:r>
    </w:p>
    <w:p w14:paraId="3D1C0435" w14:textId="77777777" w:rsidR="00A52D98" w:rsidRPr="00A52D98" w:rsidRDefault="00A52D98" w:rsidP="00A52D98">
      <w:r w:rsidRPr="00A52D98">
        <w:t>This model is particularly well-suited for:</w:t>
      </w:r>
    </w:p>
    <w:p w14:paraId="76DA32F4" w14:textId="77777777" w:rsidR="00A52D98" w:rsidRPr="00A52D98" w:rsidRDefault="00A52D98" w:rsidP="00A52D98">
      <w:pPr>
        <w:numPr>
          <w:ilvl w:val="0"/>
          <w:numId w:val="9"/>
        </w:numPr>
      </w:pPr>
      <w:r w:rsidRPr="00A52D98">
        <w:rPr>
          <w:b/>
          <w:bCs/>
        </w:rPr>
        <w:t>Studying innate immune mechanisms</w:t>
      </w:r>
      <w:r w:rsidRPr="00A52D98">
        <w:t> in arthritis</w:t>
      </w:r>
    </w:p>
    <w:p w14:paraId="2BE1A258" w14:textId="77777777" w:rsidR="00A52D98" w:rsidRPr="00A52D98" w:rsidRDefault="00A52D98" w:rsidP="00A52D98">
      <w:pPr>
        <w:numPr>
          <w:ilvl w:val="0"/>
          <w:numId w:val="9"/>
        </w:numPr>
      </w:pPr>
      <w:r w:rsidRPr="00A52D98">
        <w:rPr>
          <w:b/>
          <w:bCs/>
        </w:rPr>
        <w:t>Screening anti-inflammatory compounds</w:t>
      </w:r>
      <w:r w:rsidRPr="00A52D98">
        <w:t> with rapid onset of action</w:t>
      </w:r>
    </w:p>
    <w:p w14:paraId="0A1DCC6F" w14:textId="77777777" w:rsidR="00A52D98" w:rsidRPr="00A52D98" w:rsidRDefault="00A52D98" w:rsidP="00A52D98">
      <w:pPr>
        <w:numPr>
          <w:ilvl w:val="0"/>
          <w:numId w:val="9"/>
        </w:numPr>
      </w:pPr>
      <w:r w:rsidRPr="00A52D98">
        <w:rPr>
          <w:b/>
          <w:bCs/>
        </w:rPr>
        <w:t>Exploring roles of specific immune mediators</w:t>
      </w:r>
      <w:r w:rsidRPr="00A52D98">
        <w:t> using knockout mice</w:t>
      </w:r>
    </w:p>
    <w:p w14:paraId="34387639" w14:textId="77777777" w:rsidR="00A52D98" w:rsidRPr="00A52D98" w:rsidRDefault="00A52D98" w:rsidP="00A52D98">
      <w:pPr>
        <w:rPr>
          <w:b/>
          <w:bCs/>
        </w:rPr>
      </w:pPr>
      <w:r w:rsidRPr="00A52D98">
        <w:rPr>
          <w:b/>
          <w:bCs/>
        </w:rPr>
        <w:t>5 Antigen-Induced Arthritis (AIA) Model</w:t>
      </w:r>
    </w:p>
    <w:p w14:paraId="751C2F83" w14:textId="77777777" w:rsidR="00A52D98" w:rsidRPr="00A52D98" w:rsidRDefault="00A52D98" w:rsidP="00A52D98">
      <w:pPr>
        <w:rPr>
          <w:b/>
          <w:bCs/>
        </w:rPr>
      </w:pPr>
      <w:r w:rsidRPr="00A52D98">
        <w:rPr>
          <w:b/>
          <w:bCs/>
        </w:rPr>
        <w:t>5.1 Key Features and Methodology</w:t>
      </w:r>
    </w:p>
    <w:p w14:paraId="5557A761" w14:textId="77777777" w:rsidR="00A52D98" w:rsidRPr="00A52D98" w:rsidRDefault="00A52D98" w:rsidP="00A52D98">
      <w:r w:rsidRPr="00A52D98">
        <w:t>Antigen-Induced Arthritis represents a </w:t>
      </w:r>
      <w:r w:rsidRPr="00A52D98">
        <w:rPr>
          <w:b/>
          <w:bCs/>
        </w:rPr>
        <w:t>highly localized and synchronized</w:t>
      </w:r>
      <w:r w:rsidRPr="00A52D98">
        <w:t> model driven by a delayed-type hypersensitivity response. The AIA model is typically induced through a two-step process:</w:t>
      </w:r>
    </w:p>
    <w:p w14:paraId="1EBD1892" w14:textId="77777777" w:rsidR="00A52D98" w:rsidRPr="00A52D98" w:rsidRDefault="00A52D98" w:rsidP="00A52D98">
      <w:pPr>
        <w:numPr>
          <w:ilvl w:val="0"/>
          <w:numId w:val="10"/>
        </w:numPr>
      </w:pPr>
      <w:r w:rsidRPr="00A52D98">
        <w:rPr>
          <w:b/>
          <w:bCs/>
        </w:rPr>
        <w:t>Systemic Sensitization</w:t>
      </w:r>
      <w:r w:rsidRPr="00A52D98">
        <w:t>: Mice are initially immunized subcutaneously with a foreign antigen (commonly </w:t>
      </w:r>
      <w:r w:rsidRPr="00A52D98">
        <w:rPr>
          <w:b/>
          <w:bCs/>
        </w:rPr>
        <w:t>methylated bovine serum albumin</w:t>
      </w:r>
      <w:r w:rsidRPr="00A52D98">
        <w:t> (</w:t>
      </w:r>
      <w:proofErr w:type="spellStart"/>
      <w:r w:rsidRPr="00A52D98">
        <w:t>mBSA</w:t>
      </w:r>
      <w:proofErr w:type="spellEnd"/>
      <w:r w:rsidRPr="00A52D98">
        <w:t>)) emulsified in Complete Freund's Adjuvant</w:t>
      </w:r>
    </w:p>
    <w:p w14:paraId="576454D5" w14:textId="77777777" w:rsidR="00A52D98" w:rsidRPr="00A52D98" w:rsidRDefault="00A52D98" w:rsidP="00A52D98">
      <w:pPr>
        <w:numPr>
          <w:ilvl w:val="0"/>
          <w:numId w:val="10"/>
        </w:numPr>
      </w:pPr>
      <w:r w:rsidRPr="00A52D98">
        <w:rPr>
          <w:b/>
          <w:bCs/>
        </w:rPr>
        <w:t>Intra-articular Challenge</w:t>
      </w:r>
      <w:r w:rsidRPr="00A52D98">
        <w:t>: After 1-3 weeks, arthritis is triggered by injecting the same antigen directly into the </w:t>
      </w:r>
      <w:r w:rsidRPr="00A52D98">
        <w:rPr>
          <w:b/>
          <w:bCs/>
        </w:rPr>
        <w:t>knee or ankle joint</w:t>
      </w:r>
    </w:p>
    <w:p w14:paraId="3F174745" w14:textId="77777777" w:rsidR="00A52D98" w:rsidRPr="00A52D98" w:rsidRDefault="00A52D98" w:rsidP="00A52D98">
      <w:r w:rsidRPr="00A52D98">
        <w:t>This localized challenge results in </w:t>
      </w:r>
      <w:r w:rsidRPr="00A52D98">
        <w:rPr>
          <w:b/>
          <w:bCs/>
        </w:rPr>
        <w:t>rapid-onset inflammation</w:t>
      </w:r>
      <w:r w:rsidRPr="00A52D98">
        <w:t> (within 24 hours) characterized by massive infiltration of neutrophils and monocytes.</w:t>
      </w:r>
    </w:p>
    <w:p w14:paraId="7B15FE60" w14:textId="77777777" w:rsidR="00A52D98" w:rsidRPr="00A52D98" w:rsidRDefault="00A52D98" w:rsidP="00A52D98">
      <w:pPr>
        <w:rPr>
          <w:b/>
          <w:bCs/>
        </w:rPr>
      </w:pPr>
      <w:r w:rsidRPr="00A52D98">
        <w:rPr>
          <w:b/>
          <w:bCs/>
        </w:rPr>
        <w:lastRenderedPageBreak/>
        <w:t>5.2 Research Applications and Limitations</w:t>
      </w:r>
    </w:p>
    <w:p w14:paraId="15CCA0B0" w14:textId="77777777" w:rsidR="00A52D98" w:rsidRPr="00A52D98" w:rsidRDefault="00A52D98" w:rsidP="00A52D98">
      <w:r w:rsidRPr="00A52D98">
        <w:t>The AIA model offers several </w:t>
      </w:r>
      <w:r w:rsidRPr="00A52D98">
        <w:rPr>
          <w:b/>
          <w:bCs/>
        </w:rPr>
        <w:t>distinct advantages</w:t>
      </w:r>
      <w:r w:rsidRPr="00A52D98">
        <w:t>:</w:t>
      </w:r>
    </w:p>
    <w:p w14:paraId="663D447F" w14:textId="77777777" w:rsidR="00A52D98" w:rsidRPr="00A52D98" w:rsidRDefault="00A52D98" w:rsidP="00A52D98">
      <w:pPr>
        <w:numPr>
          <w:ilvl w:val="0"/>
          <w:numId w:val="11"/>
        </w:numPr>
      </w:pPr>
      <w:r w:rsidRPr="00A52D98">
        <w:rPr>
          <w:b/>
          <w:bCs/>
        </w:rPr>
        <w:t>Unilateral nature</w:t>
      </w:r>
      <w:r w:rsidRPr="00A52D98">
        <w:t> allows each animal to serve as its own control</w:t>
      </w:r>
    </w:p>
    <w:p w14:paraId="57799DB1" w14:textId="77777777" w:rsidR="00A52D98" w:rsidRPr="00A52D98" w:rsidRDefault="00A52D98" w:rsidP="00A52D98">
      <w:pPr>
        <w:numPr>
          <w:ilvl w:val="0"/>
          <w:numId w:val="11"/>
        </w:numPr>
      </w:pPr>
      <w:r w:rsidRPr="00A52D98">
        <w:rPr>
          <w:b/>
          <w:bCs/>
        </w:rPr>
        <w:t>Precise temporal control</w:t>
      </w:r>
      <w:r w:rsidRPr="00A52D98">
        <w:t> over disease induction</w:t>
      </w:r>
    </w:p>
    <w:p w14:paraId="6FA37C2B" w14:textId="77777777" w:rsidR="00A52D98" w:rsidRPr="00A52D98" w:rsidRDefault="00A52D98" w:rsidP="00A52D98">
      <w:pPr>
        <w:numPr>
          <w:ilvl w:val="0"/>
          <w:numId w:val="11"/>
        </w:numPr>
      </w:pPr>
      <w:r w:rsidRPr="00A52D98">
        <w:t>Ideal for studying </w:t>
      </w:r>
      <w:r w:rsidRPr="00A52D98">
        <w:rPr>
          <w:b/>
          <w:bCs/>
        </w:rPr>
        <w:t>monocyte and neutrophil recruitment</w:t>
      </w:r>
    </w:p>
    <w:p w14:paraId="6DDF7AE6" w14:textId="77777777" w:rsidR="00A52D98" w:rsidRPr="00A52D98" w:rsidRDefault="00A52D98" w:rsidP="00A52D98">
      <w:r w:rsidRPr="00A52D98">
        <w:t>However, researchers should consider the </w:t>
      </w:r>
      <w:r w:rsidRPr="00A52D98">
        <w:rPr>
          <w:b/>
          <w:bCs/>
        </w:rPr>
        <w:t>technical expertise</w:t>
      </w:r>
      <w:r w:rsidRPr="00A52D98">
        <w:t> required for consistent intra-articular injections and the model's limitation to primarily one or two joints per animal.</w:t>
      </w:r>
    </w:p>
    <w:p w14:paraId="317ABE5E" w14:textId="77777777" w:rsidR="00A52D98" w:rsidRPr="00A52D98" w:rsidRDefault="00A52D98" w:rsidP="00A52D98">
      <w:pPr>
        <w:rPr>
          <w:b/>
          <w:bCs/>
        </w:rPr>
      </w:pPr>
      <w:r w:rsidRPr="00A52D98">
        <w:rPr>
          <w:b/>
          <w:bCs/>
        </w:rPr>
        <w:t>6 Adjuvant-Induced Arthritis (AA) Model</w:t>
      </w:r>
    </w:p>
    <w:p w14:paraId="4CE5FCE1" w14:textId="77777777" w:rsidR="00A52D98" w:rsidRPr="00A52D98" w:rsidRDefault="00A52D98" w:rsidP="00A52D98">
      <w:pPr>
        <w:rPr>
          <w:b/>
          <w:bCs/>
        </w:rPr>
      </w:pPr>
      <w:r w:rsidRPr="00A52D98">
        <w:rPr>
          <w:b/>
          <w:bCs/>
        </w:rPr>
        <w:t>6.1 Induction and Characteristics</w:t>
      </w:r>
    </w:p>
    <w:p w14:paraId="2E2330AF" w14:textId="77777777" w:rsidR="00A52D98" w:rsidRPr="00A52D98" w:rsidRDefault="00A52D98" w:rsidP="00A52D98">
      <w:r w:rsidRPr="00A52D98">
        <w:t>Adjuvant-Induced Arthritis represents a </w:t>
      </w:r>
      <w:r w:rsidRPr="00A52D98">
        <w:rPr>
          <w:b/>
          <w:bCs/>
        </w:rPr>
        <w:t>classical model</w:t>
      </w:r>
      <w:r w:rsidRPr="00A52D98">
        <w:t> particularly well-established in rat studies, though mouse variants also exist. The induction protocol involves:</w:t>
      </w:r>
    </w:p>
    <w:p w14:paraId="170F8776" w14:textId="77777777" w:rsidR="00A52D98" w:rsidRPr="00A52D98" w:rsidRDefault="00A52D98" w:rsidP="00A52D98">
      <w:pPr>
        <w:numPr>
          <w:ilvl w:val="0"/>
          <w:numId w:val="12"/>
        </w:numPr>
      </w:pPr>
      <w:r w:rsidRPr="00A52D98">
        <w:rPr>
          <w:b/>
          <w:bCs/>
        </w:rPr>
        <w:t>CFA Preparation</w:t>
      </w:r>
      <w:r w:rsidRPr="00A52D98">
        <w:t>: Complete Freund's Adjuvant containing 1-4 mg/mL heat-killed mycobacteria</w:t>
      </w:r>
    </w:p>
    <w:p w14:paraId="49CC8432" w14:textId="77777777" w:rsidR="00A52D98" w:rsidRPr="00A52D98" w:rsidRDefault="00A52D98" w:rsidP="00A52D98">
      <w:pPr>
        <w:numPr>
          <w:ilvl w:val="0"/>
          <w:numId w:val="12"/>
        </w:numPr>
      </w:pPr>
      <w:r w:rsidRPr="00A52D98">
        <w:rPr>
          <w:b/>
          <w:bCs/>
        </w:rPr>
        <w:t>Administration</w:t>
      </w:r>
      <w:r w:rsidRPr="00A52D98">
        <w:t>: Single intradermal injection into the tail, footpad, or base of tail</w:t>
      </w:r>
    </w:p>
    <w:p w14:paraId="45F85332" w14:textId="77777777" w:rsidR="00A52D98" w:rsidRPr="00A52D98" w:rsidRDefault="00A52D98" w:rsidP="00A52D98">
      <w:pPr>
        <w:numPr>
          <w:ilvl w:val="0"/>
          <w:numId w:val="12"/>
        </w:numPr>
      </w:pPr>
      <w:r w:rsidRPr="00A52D98">
        <w:rPr>
          <w:b/>
          <w:bCs/>
        </w:rPr>
        <w:t>Disease Onset</w:t>
      </w:r>
      <w:r w:rsidRPr="00A52D98">
        <w:t>: Arthritis typically develops within 10-14 days post-injection</w:t>
      </w:r>
    </w:p>
    <w:p w14:paraId="629C879E" w14:textId="77777777" w:rsidR="00A52D98" w:rsidRPr="00A52D98" w:rsidRDefault="00A52D98" w:rsidP="00A52D98">
      <w:r w:rsidRPr="00A52D98">
        <w:t>The AA model demonstrates </w:t>
      </w:r>
      <w:r w:rsidRPr="00A52D98">
        <w:rPr>
          <w:b/>
          <w:bCs/>
        </w:rPr>
        <w:t>robust systemic inflammation</w:t>
      </w:r>
      <w:r w:rsidRPr="00A52D98">
        <w:t> with both articular and extra-articular manifestations, including significant paw swelling, joint destruction, and occasional systemic features like weight loss and splenomegaly.</w:t>
      </w:r>
    </w:p>
    <w:p w14:paraId="2A0BAC2A" w14:textId="77777777" w:rsidR="00A52D98" w:rsidRPr="00A52D98" w:rsidRDefault="00A52D98" w:rsidP="00A52D98">
      <w:pPr>
        <w:rPr>
          <w:b/>
          <w:bCs/>
        </w:rPr>
      </w:pPr>
      <w:r w:rsidRPr="00A52D98">
        <w:rPr>
          <w:b/>
          <w:bCs/>
        </w:rPr>
        <w:t>6.2 Mechanisms and Research Utility</w:t>
      </w:r>
    </w:p>
    <w:p w14:paraId="1CD89316" w14:textId="77777777" w:rsidR="00A52D98" w:rsidRPr="00A52D98" w:rsidRDefault="00A52D98" w:rsidP="00A52D98">
      <w:r w:rsidRPr="00A52D98">
        <w:t>The AA model operates primarily through </w:t>
      </w:r>
      <w:r w:rsidRPr="00A52D98">
        <w:rPr>
          <w:b/>
          <w:bCs/>
        </w:rPr>
        <w:t>innate immune activation</w:t>
      </w:r>
      <w:r w:rsidRPr="00A52D98">
        <w:t>:</w:t>
      </w:r>
    </w:p>
    <w:p w14:paraId="3B8F85F0" w14:textId="77777777" w:rsidR="00A52D98" w:rsidRPr="00A52D98" w:rsidRDefault="00A52D98" w:rsidP="00A52D98">
      <w:pPr>
        <w:numPr>
          <w:ilvl w:val="0"/>
          <w:numId w:val="13"/>
        </w:numPr>
      </w:pPr>
      <w:r w:rsidRPr="00A52D98">
        <w:rPr>
          <w:b/>
          <w:bCs/>
        </w:rPr>
        <w:t>Mycobacterial components</w:t>
      </w:r>
      <w:r w:rsidRPr="00A52D98">
        <w:t> stimulate TLR signaling and inflammasome activation</w:t>
      </w:r>
    </w:p>
    <w:p w14:paraId="0C1224F4" w14:textId="77777777" w:rsidR="00A52D98" w:rsidRPr="00A52D98" w:rsidRDefault="00A52D98" w:rsidP="00A52D98">
      <w:pPr>
        <w:numPr>
          <w:ilvl w:val="0"/>
          <w:numId w:val="13"/>
        </w:numPr>
      </w:pPr>
      <w:r w:rsidRPr="00A52D98">
        <w:rPr>
          <w:b/>
          <w:bCs/>
        </w:rPr>
        <w:t>Cross-reactive immune responses</w:t>
      </w:r>
      <w:r w:rsidRPr="00A52D98">
        <w:t> against endogenous heat shock proteins</w:t>
      </w:r>
    </w:p>
    <w:p w14:paraId="2F20532C" w14:textId="77777777" w:rsidR="00A52D98" w:rsidRPr="00A52D98" w:rsidRDefault="00A52D98" w:rsidP="00A52D98">
      <w:pPr>
        <w:numPr>
          <w:ilvl w:val="0"/>
          <w:numId w:val="13"/>
        </w:numPr>
      </w:pPr>
      <w:r w:rsidRPr="00A52D98">
        <w:rPr>
          <w:b/>
          <w:bCs/>
        </w:rPr>
        <w:t>Robust Th1 and Th17 polarization</w:t>
      </w:r>
      <w:r w:rsidRPr="00A52D98">
        <w:t> driving joint inflammation</w:t>
      </w:r>
    </w:p>
    <w:p w14:paraId="0623911C" w14:textId="77777777" w:rsidR="00A52D98" w:rsidRPr="00A52D98" w:rsidRDefault="00A52D98" w:rsidP="00A52D98">
      <w:r w:rsidRPr="00A52D98">
        <w:t>This model is particularly valuable for:</w:t>
      </w:r>
    </w:p>
    <w:p w14:paraId="1D8295A6" w14:textId="77777777" w:rsidR="00A52D98" w:rsidRPr="00A52D98" w:rsidRDefault="00A52D98" w:rsidP="00A52D98">
      <w:pPr>
        <w:numPr>
          <w:ilvl w:val="0"/>
          <w:numId w:val="14"/>
        </w:numPr>
      </w:pPr>
      <w:r w:rsidRPr="00A52D98">
        <w:rPr>
          <w:b/>
          <w:bCs/>
        </w:rPr>
        <w:t>Studying innate immunity</w:t>
      </w:r>
      <w:r w:rsidRPr="00A52D98">
        <w:t> in arthritis pathogenesis</w:t>
      </w:r>
    </w:p>
    <w:p w14:paraId="35B3B6CE" w14:textId="77777777" w:rsidR="00A52D98" w:rsidRPr="00A52D98" w:rsidRDefault="00A52D98" w:rsidP="00A52D98">
      <w:pPr>
        <w:numPr>
          <w:ilvl w:val="0"/>
          <w:numId w:val="14"/>
        </w:numPr>
      </w:pPr>
      <w:r w:rsidRPr="00A52D98">
        <w:rPr>
          <w:b/>
          <w:bCs/>
        </w:rPr>
        <w:t>Evaluating broad-spectrum anti-inflammatory compounds</w:t>
      </w:r>
    </w:p>
    <w:p w14:paraId="4A78CAD6" w14:textId="77777777" w:rsidR="00A52D98" w:rsidRPr="00A52D98" w:rsidRDefault="00A52D98" w:rsidP="00A52D98">
      <w:pPr>
        <w:numPr>
          <w:ilvl w:val="0"/>
          <w:numId w:val="14"/>
        </w:numPr>
      </w:pPr>
      <w:r w:rsidRPr="00A52D98">
        <w:rPr>
          <w:b/>
          <w:bCs/>
        </w:rPr>
        <w:t>Investigating extra-articular manifestations</w:t>
      </w:r>
      <w:r w:rsidRPr="00A52D98">
        <w:t> of inflammatory arthritis</w:t>
      </w:r>
    </w:p>
    <w:p w14:paraId="170A50F5" w14:textId="77777777" w:rsidR="00A52D98" w:rsidRPr="00A52D98" w:rsidRDefault="00A52D98" w:rsidP="00A52D98">
      <w:pPr>
        <w:rPr>
          <w:b/>
          <w:bCs/>
        </w:rPr>
      </w:pPr>
      <w:r w:rsidRPr="00A52D98">
        <w:rPr>
          <w:b/>
          <w:bCs/>
        </w:rPr>
        <w:lastRenderedPageBreak/>
        <w:t>7 Other Induction Methods and Specialized Models</w:t>
      </w:r>
    </w:p>
    <w:p w14:paraId="01D078FC" w14:textId="77777777" w:rsidR="00A52D98" w:rsidRPr="00A52D98" w:rsidRDefault="00A52D98" w:rsidP="00A52D98">
      <w:pPr>
        <w:rPr>
          <w:b/>
          <w:bCs/>
        </w:rPr>
      </w:pPr>
      <w:r w:rsidRPr="00A52D98">
        <w:rPr>
          <w:b/>
          <w:bCs/>
        </w:rPr>
        <w:t>7.1 Collagen Antibody-Induced Arthritis (CAIA)</w:t>
      </w:r>
    </w:p>
    <w:p w14:paraId="35BE14F1" w14:textId="77777777" w:rsidR="00A52D98" w:rsidRPr="00A52D98" w:rsidRDefault="00A52D98" w:rsidP="00A52D98">
      <w:r w:rsidRPr="00A52D98">
        <w:t>The CAIA model combines </w:t>
      </w:r>
      <w:r w:rsidRPr="00A52D98">
        <w:rPr>
          <w:b/>
          <w:bCs/>
        </w:rPr>
        <w:t>monoclonal antibodies</w:t>
      </w:r>
      <w:r w:rsidRPr="00A52D98">
        <w:t> against type II collagen with LPS challenge for rapid induction. This model offers:</w:t>
      </w:r>
    </w:p>
    <w:p w14:paraId="583640A3" w14:textId="77777777" w:rsidR="00A52D98" w:rsidRPr="00A52D98" w:rsidRDefault="00A52D98" w:rsidP="00A52D98">
      <w:pPr>
        <w:numPr>
          <w:ilvl w:val="0"/>
          <w:numId w:val="15"/>
        </w:numPr>
      </w:pPr>
      <w:r w:rsidRPr="00A52D98">
        <w:rPr>
          <w:b/>
          <w:bCs/>
        </w:rPr>
        <w:t>Rapid onset</w:t>
      </w:r>
      <w:r w:rsidRPr="00A52D98">
        <w:t> (within 24-48 hours of antibody transfer)</w:t>
      </w:r>
    </w:p>
    <w:p w14:paraId="345A8AF4" w14:textId="77777777" w:rsidR="00A52D98" w:rsidRPr="00A52D98" w:rsidRDefault="00A52D98" w:rsidP="00A52D98">
      <w:pPr>
        <w:numPr>
          <w:ilvl w:val="0"/>
          <w:numId w:val="15"/>
        </w:numPr>
      </w:pPr>
      <w:r w:rsidRPr="00A52D98">
        <w:rPr>
          <w:b/>
          <w:bCs/>
        </w:rPr>
        <w:t>High incidence and uniformity</w:t>
      </w:r>
      <w:r w:rsidRPr="00A52D98">
        <w:t> across animals</w:t>
      </w:r>
    </w:p>
    <w:p w14:paraId="10916F09" w14:textId="77777777" w:rsidR="00A52D98" w:rsidRPr="00A52D98" w:rsidRDefault="00A52D98" w:rsidP="00A52D98">
      <w:pPr>
        <w:numPr>
          <w:ilvl w:val="0"/>
          <w:numId w:val="15"/>
        </w:numPr>
      </w:pPr>
      <w:r w:rsidRPr="00A52D98">
        <w:rPr>
          <w:b/>
          <w:bCs/>
        </w:rPr>
        <w:t>Utility for studying antibody-mediated pathology</w:t>
      </w:r>
    </w:p>
    <w:p w14:paraId="365D6F2E" w14:textId="77777777" w:rsidR="00A52D98" w:rsidRPr="00A52D98" w:rsidRDefault="00A52D98" w:rsidP="00A52D98">
      <w:pPr>
        <w:rPr>
          <w:b/>
          <w:bCs/>
        </w:rPr>
      </w:pPr>
      <w:r w:rsidRPr="00A52D98">
        <w:rPr>
          <w:b/>
          <w:bCs/>
        </w:rPr>
        <w:t>7.2 Transgenic and Spontaneous Models</w:t>
      </w:r>
    </w:p>
    <w:p w14:paraId="397F196B" w14:textId="77777777" w:rsidR="00A52D98" w:rsidRPr="00A52D98" w:rsidRDefault="00A52D98" w:rsidP="00A52D98">
      <w:r w:rsidRPr="00A52D98">
        <w:t>Various genetic models provide alternative approaches:</w:t>
      </w:r>
    </w:p>
    <w:p w14:paraId="5BFEF250" w14:textId="77777777" w:rsidR="00A52D98" w:rsidRPr="00A52D98" w:rsidRDefault="00A52D98" w:rsidP="00A52D98">
      <w:pPr>
        <w:numPr>
          <w:ilvl w:val="0"/>
          <w:numId w:val="16"/>
        </w:numPr>
      </w:pPr>
      <w:r w:rsidRPr="00A52D98">
        <w:rPr>
          <w:b/>
          <w:bCs/>
        </w:rPr>
        <w:t>TNF-transgenic mice</w:t>
      </w:r>
      <w:r w:rsidRPr="00A52D98">
        <w:t>: Develop spontaneous chronic arthritis</w:t>
      </w:r>
    </w:p>
    <w:p w14:paraId="5EA2DC19" w14:textId="77777777" w:rsidR="00A52D98" w:rsidRPr="00A52D98" w:rsidRDefault="00A52D98" w:rsidP="00A52D98">
      <w:pPr>
        <w:numPr>
          <w:ilvl w:val="0"/>
          <w:numId w:val="16"/>
        </w:numPr>
      </w:pPr>
      <w:r w:rsidRPr="00A52D98">
        <w:rPr>
          <w:b/>
          <w:bCs/>
        </w:rPr>
        <w:t>SKG mice</w:t>
      </w:r>
      <w:r w:rsidRPr="00A52D98">
        <w:t>: ZAP-70 mutation leads to spontaneous autoimmune arthritis</w:t>
      </w:r>
    </w:p>
    <w:p w14:paraId="28E2A0A5" w14:textId="77777777" w:rsidR="00A52D98" w:rsidRPr="00A52D98" w:rsidRDefault="00A52D98" w:rsidP="00A52D98">
      <w:pPr>
        <w:numPr>
          <w:ilvl w:val="0"/>
          <w:numId w:val="16"/>
        </w:numPr>
      </w:pPr>
      <w:r w:rsidRPr="00A52D98">
        <w:rPr>
          <w:b/>
          <w:bCs/>
        </w:rPr>
        <w:t>IL-1Ra deficient mice</w:t>
      </w:r>
      <w:r w:rsidRPr="00A52D98">
        <w:t>: Develop spontaneous arthritis due to IL-1 signaling imbalance</w:t>
      </w:r>
    </w:p>
    <w:p w14:paraId="1939B38F" w14:textId="77777777" w:rsidR="00A52D98" w:rsidRPr="00A52D98" w:rsidRDefault="00A52D98" w:rsidP="00A52D98">
      <w:pPr>
        <w:rPr>
          <w:b/>
          <w:bCs/>
        </w:rPr>
      </w:pPr>
      <w:r w:rsidRPr="00A52D98">
        <w:rPr>
          <w:b/>
          <w:bCs/>
        </w:rPr>
        <w:t>8 Model Selection Framework for Pharmacology Research</w:t>
      </w:r>
    </w:p>
    <w:p w14:paraId="55AA31B7" w14:textId="77777777" w:rsidR="00A52D98" w:rsidRPr="00A52D98" w:rsidRDefault="00A52D98" w:rsidP="00A52D98">
      <w:pPr>
        <w:rPr>
          <w:b/>
          <w:bCs/>
        </w:rPr>
      </w:pPr>
      <w:r w:rsidRPr="00A52D98">
        <w:rPr>
          <w:b/>
          <w:bCs/>
        </w:rPr>
        <w:t>8.1 Matching Models to Research Objectives</w:t>
      </w:r>
    </w:p>
    <w:p w14:paraId="7D421F3B" w14:textId="77777777" w:rsidR="00A52D98" w:rsidRPr="00A52D98" w:rsidRDefault="00A52D98" w:rsidP="00A52D98">
      <w:r w:rsidRPr="00A52D98">
        <w:t>Selecting the most appropriate RA model requires careful consideration of your </w:t>
      </w:r>
      <w:r w:rsidRPr="00A52D98">
        <w:rPr>
          <w:b/>
          <w:bCs/>
        </w:rPr>
        <w:t>specific research goals</w:t>
      </w:r>
      <w:r w:rsidRPr="00A52D98">
        <w:t> and </w:t>
      </w:r>
      <w:r w:rsidRPr="00A52D98">
        <w:rPr>
          <w:b/>
          <w:bCs/>
        </w:rPr>
        <w:t>compound characteristics</w:t>
      </w:r>
      <w:r w:rsidRPr="00A52D98">
        <w:t>:</w:t>
      </w:r>
    </w:p>
    <w:p w14:paraId="6CB50DE5" w14:textId="77777777" w:rsidR="00A52D98" w:rsidRPr="00A52D98" w:rsidRDefault="00A52D98" w:rsidP="00A52D98">
      <w:pPr>
        <w:numPr>
          <w:ilvl w:val="0"/>
          <w:numId w:val="17"/>
        </w:numPr>
      </w:pPr>
      <w:r w:rsidRPr="00A52D98">
        <w:rPr>
          <w:b/>
          <w:bCs/>
        </w:rPr>
        <w:t>For Screening Anti-inflammatory Compounds</w:t>
      </w:r>
      <w:r w:rsidRPr="00A52D98">
        <w:t>: The </w:t>
      </w:r>
      <w:r w:rsidRPr="00A52D98">
        <w:rPr>
          <w:b/>
          <w:bCs/>
        </w:rPr>
        <w:t>K/</w:t>
      </w:r>
      <w:proofErr w:type="spellStart"/>
      <w:r w:rsidRPr="00A52D98">
        <w:rPr>
          <w:b/>
          <w:bCs/>
        </w:rPr>
        <w:t>BxN</w:t>
      </w:r>
      <w:proofErr w:type="spellEnd"/>
      <w:r w:rsidRPr="00A52D98">
        <w:rPr>
          <w:b/>
          <w:bCs/>
        </w:rPr>
        <w:t xml:space="preserve"> serum-transfer model</w:t>
      </w:r>
      <w:r w:rsidRPr="00A52D98">
        <w:t> offers advantages due to its rapid, synchronized onset</w:t>
      </w:r>
    </w:p>
    <w:p w14:paraId="78E306F2" w14:textId="77777777" w:rsidR="00A52D98" w:rsidRPr="00A52D98" w:rsidRDefault="00A52D98" w:rsidP="00A52D98">
      <w:pPr>
        <w:numPr>
          <w:ilvl w:val="0"/>
          <w:numId w:val="17"/>
        </w:numPr>
      </w:pPr>
      <w:r w:rsidRPr="00A52D98">
        <w:rPr>
          <w:b/>
          <w:bCs/>
        </w:rPr>
        <w:t>For Evaluating Disease-Modifying Potential</w:t>
      </w:r>
      <w:r w:rsidRPr="00A52D98">
        <w:t>: The </w:t>
      </w:r>
      <w:r w:rsidRPr="00A52D98">
        <w:rPr>
          <w:b/>
          <w:bCs/>
        </w:rPr>
        <w:t>CIA model</w:t>
      </w:r>
      <w:r w:rsidRPr="00A52D98">
        <w:t> is generally preferred for assessing effects on adaptive immunity and chronic joint damage</w:t>
      </w:r>
    </w:p>
    <w:p w14:paraId="388E5C63" w14:textId="77777777" w:rsidR="00A52D98" w:rsidRPr="00A52D98" w:rsidRDefault="00A52D98" w:rsidP="00A52D98">
      <w:pPr>
        <w:numPr>
          <w:ilvl w:val="0"/>
          <w:numId w:val="17"/>
        </w:numPr>
      </w:pPr>
      <w:r w:rsidRPr="00A52D98">
        <w:rPr>
          <w:b/>
          <w:bCs/>
        </w:rPr>
        <w:t>For Studying Specific Immune Pathways</w:t>
      </w:r>
      <w:r w:rsidRPr="00A52D98">
        <w:t>: Consider models that best engage your target pathway</w:t>
      </w:r>
    </w:p>
    <w:p w14:paraId="487B2026" w14:textId="77777777" w:rsidR="00A52D98" w:rsidRPr="00A52D98" w:rsidRDefault="00A52D98" w:rsidP="00A52D98">
      <w:pPr>
        <w:numPr>
          <w:ilvl w:val="0"/>
          <w:numId w:val="17"/>
        </w:numPr>
      </w:pPr>
      <w:r w:rsidRPr="00A52D98">
        <w:rPr>
          <w:b/>
          <w:bCs/>
        </w:rPr>
        <w:t>For CFA-Dependent Models</w:t>
      </w:r>
      <w:r w:rsidRPr="00A52D98">
        <w:t>: Choose based on required disease chronicity and immunological mechanisms</w:t>
      </w:r>
    </w:p>
    <w:p w14:paraId="368D3802" w14:textId="77777777" w:rsidR="00A52D98" w:rsidRPr="00A52D98" w:rsidRDefault="00A52D98" w:rsidP="00A52D98">
      <w:pPr>
        <w:rPr>
          <w:b/>
          <w:bCs/>
        </w:rPr>
      </w:pPr>
      <w:r w:rsidRPr="00A52D98">
        <w:rPr>
          <w:b/>
          <w:bCs/>
        </w:rPr>
        <w:t>8.2 Practical Considerations for CFA-Based Models</w:t>
      </w:r>
    </w:p>
    <w:p w14:paraId="62AA7546" w14:textId="77777777" w:rsidR="00A52D98" w:rsidRPr="00A52D98" w:rsidRDefault="00A52D98" w:rsidP="00A52D98">
      <w:r w:rsidRPr="00A52D98">
        <w:t>When utilizing CFA-dependent models, consider these </w:t>
      </w:r>
      <w:r w:rsidRPr="00A52D98">
        <w:rPr>
          <w:b/>
          <w:bCs/>
        </w:rPr>
        <w:t>critical factors</w:t>
      </w:r>
      <w:r w:rsidRPr="00A52D98">
        <w:t>:</w:t>
      </w:r>
    </w:p>
    <w:p w14:paraId="4061E262" w14:textId="77777777" w:rsidR="00A52D98" w:rsidRPr="00A52D98" w:rsidRDefault="00A52D98" w:rsidP="00A52D98">
      <w:pPr>
        <w:numPr>
          <w:ilvl w:val="0"/>
          <w:numId w:val="18"/>
        </w:numPr>
      </w:pPr>
      <w:r w:rsidRPr="00A52D98">
        <w:rPr>
          <w:b/>
          <w:bCs/>
        </w:rPr>
        <w:t>Animal Strain Selection</w:t>
      </w:r>
      <w:r w:rsidRPr="00A52D98">
        <w:t xml:space="preserve">: DBA/1J for CIA, Lewis </w:t>
      </w:r>
      <w:proofErr w:type="gramStart"/>
      <w:r w:rsidRPr="00A52D98">
        <w:t>rats</w:t>
      </w:r>
      <w:proofErr w:type="gramEnd"/>
      <w:r w:rsidRPr="00A52D98">
        <w:t xml:space="preserve"> for AA, C57BL/6 for AIA</w:t>
      </w:r>
    </w:p>
    <w:p w14:paraId="0636AF48" w14:textId="77777777" w:rsidR="00A52D98" w:rsidRPr="00A52D98" w:rsidRDefault="00A52D98" w:rsidP="00A52D98">
      <w:pPr>
        <w:numPr>
          <w:ilvl w:val="0"/>
          <w:numId w:val="18"/>
        </w:numPr>
      </w:pPr>
      <w:r w:rsidRPr="00A52D98">
        <w:rPr>
          <w:b/>
          <w:bCs/>
        </w:rPr>
        <w:lastRenderedPageBreak/>
        <w:t>CFA Quality and Consistency</w:t>
      </w:r>
      <w:r w:rsidRPr="00A52D98">
        <w:t>: Source from reputable suppliers and verify emulsion stability</w:t>
      </w:r>
    </w:p>
    <w:p w14:paraId="7AEF2349" w14:textId="77777777" w:rsidR="00A52D98" w:rsidRPr="00A52D98" w:rsidRDefault="00A52D98" w:rsidP="00A52D98">
      <w:pPr>
        <w:numPr>
          <w:ilvl w:val="0"/>
          <w:numId w:val="18"/>
        </w:numPr>
      </w:pPr>
      <w:r w:rsidRPr="00A52D98">
        <w:rPr>
          <w:b/>
          <w:bCs/>
        </w:rPr>
        <w:t>Monitoring Systemic Effects</w:t>
      </w:r>
      <w:r w:rsidRPr="00A52D98">
        <w:t>: Watch for excessive weight loss, ulceration at injection sites, or systemic illness</w:t>
      </w:r>
    </w:p>
    <w:p w14:paraId="4329A852" w14:textId="77777777" w:rsidR="00A52D98" w:rsidRPr="00A52D98" w:rsidRDefault="00A52D98" w:rsidP="00A52D98">
      <w:pPr>
        <w:numPr>
          <w:ilvl w:val="0"/>
          <w:numId w:val="18"/>
        </w:numPr>
      </w:pPr>
      <w:r w:rsidRPr="00A52D98">
        <w:rPr>
          <w:b/>
          <w:bCs/>
        </w:rPr>
        <w:t>Animal Welfare Considerations</w:t>
      </w:r>
      <w:r w:rsidRPr="00A52D98">
        <w:t>: Implement appropriate pain management and endpoint criteria</w:t>
      </w:r>
    </w:p>
    <w:p w14:paraId="302B34EC" w14:textId="77777777" w:rsidR="00A52D98" w:rsidRPr="00A52D98" w:rsidRDefault="00A52D98" w:rsidP="00A52D98">
      <w:r w:rsidRPr="00A52D98">
        <w:t>For researchers new to RA models, beginning with the </w:t>
      </w:r>
      <w:r w:rsidRPr="00A52D98">
        <w:rPr>
          <w:b/>
          <w:bCs/>
        </w:rPr>
        <w:t>well-characterized CIA model</w:t>
      </w:r>
      <w:r w:rsidRPr="00A52D98">
        <w:t> provides a robust foundation, as its extensive validation in pharmacological studies offers substantial reference data for comparing your compound's efficacy against established treatments.</w:t>
      </w:r>
    </w:p>
    <w:p w14:paraId="049A0121" w14:textId="77777777" w:rsidR="00A52D98" w:rsidRPr="00A52D98" w:rsidRDefault="00A52D98" w:rsidP="00A52D98">
      <w:pPr>
        <w:rPr>
          <w:b/>
          <w:bCs/>
        </w:rPr>
      </w:pPr>
      <w:r w:rsidRPr="00A52D98">
        <w:rPr>
          <w:b/>
          <w:bCs/>
        </w:rPr>
        <w:t>9 Conclusion</w:t>
      </w:r>
    </w:p>
    <w:p w14:paraId="2329F5BA" w14:textId="77777777" w:rsidR="00A52D98" w:rsidRPr="00A52D98" w:rsidRDefault="00A52D98" w:rsidP="00A52D98">
      <w:r w:rsidRPr="00A52D98">
        <w:t>Each experimental RA model offers distinct advantages and limitations, with </w:t>
      </w:r>
      <w:r w:rsidRPr="00A52D98">
        <w:rPr>
          <w:b/>
          <w:bCs/>
        </w:rPr>
        <w:t>CFA playing a central role</w:t>
      </w:r>
      <w:r w:rsidRPr="00A52D98">
        <w:t> in several key models including CIA, AIA, and AA. The choice of model should be guided by your specific research questions, compound mechanism, and practical considerations. CFA-dependent models provide robust, immunologically relevant systems for studying autoimmune arthritis, while antibody-transfer models like K/</w:t>
      </w:r>
      <w:proofErr w:type="spellStart"/>
      <w:r w:rsidRPr="00A52D98">
        <w:t>BxN</w:t>
      </w:r>
      <w:proofErr w:type="spellEnd"/>
      <w:r w:rsidRPr="00A52D98">
        <w:t xml:space="preserve"> offer rapid, synchronized alternatives for specific applications. By understanding the strengths and limitations of each approach, you can select the most appropriate model to maximize the validity and translational potential of your preclinical findings in rheumatoid arthritis pharmacology research.</w:t>
      </w:r>
    </w:p>
    <w:p w14:paraId="59E7975A" w14:textId="0A908059" w:rsidR="00A243B7" w:rsidRDefault="00A243B7" w:rsidP="00A52D98"/>
    <w:sectPr w:rsidR="00A24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BD7"/>
    <w:multiLevelType w:val="multilevel"/>
    <w:tmpl w:val="676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6297"/>
    <w:multiLevelType w:val="multilevel"/>
    <w:tmpl w:val="28F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C000B"/>
    <w:multiLevelType w:val="multilevel"/>
    <w:tmpl w:val="C34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870BF"/>
    <w:multiLevelType w:val="multilevel"/>
    <w:tmpl w:val="3922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F642D"/>
    <w:multiLevelType w:val="multilevel"/>
    <w:tmpl w:val="B25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A3993"/>
    <w:multiLevelType w:val="multilevel"/>
    <w:tmpl w:val="127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A1DAE"/>
    <w:multiLevelType w:val="multilevel"/>
    <w:tmpl w:val="81C6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83A2C"/>
    <w:multiLevelType w:val="multilevel"/>
    <w:tmpl w:val="BD8E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B6319"/>
    <w:multiLevelType w:val="multilevel"/>
    <w:tmpl w:val="DEE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D5BB7"/>
    <w:multiLevelType w:val="multilevel"/>
    <w:tmpl w:val="A4E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919C2"/>
    <w:multiLevelType w:val="multilevel"/>
    <w:tmpl w:val="A12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62D76"/>
    <w:multiLevelType w:val="multilevel"/>
    <w:tmpl w:val="804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841CA"/>
    <w:multiLevelType w:val="multilevel"/>
    <w:tmpl w:val="6A7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B38B7"/>
    <w:multiLevelType w:val="multilevel"/>
    <w:tmpl w:val="E4E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A493B"/>
    <w:multiLevelType w:val="multilevel"/>
    <w:tmpl w:val="1CC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073BD"/>
    <w:multiLevelType w:val="multilevel"/>
    <w:tmpl w:val="B13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674F1"/>
    <w:multiLevelType w:val="multilevel"/>
    <w:tmpl w:val="014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84159"/>
    <w:multiLevelType w:val="multilevel"/>
    <w:tmpl w:val="61F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276524">
    <w:abstractNumId w:val="5"/>
  </w:num>
  <w:num w:numId="2" w16cid:durableId="1330524845">
    <w:abstractNumId w:val="8"/>
  </w:num>
  <w:num w:numId="3" w16cid:durableId="625235574">
    <w:abstractNumId w:val="12"/>
  </w:num>
  <w:num w:numId="4" w16cid:durableId="2128044646">
    <w:abstractNumId w:val="7"/>
  </w:num>
  <w:num w:numId="5" w16cid:durableId="417600503">
    <w:abstractNumId w:val="4"/>
  </w:num>
  <w:num w:numId="6" w16cid:durableId="1775783549">
    <w:abstractNumId w:val="3"/>
  </w:num>
  <w:num w:numId="7" w16cid:durableId="716244774">
    <w:abstractNumId w:val="11"/>
  </w:num>
  <w:num w:numId="8" w16cid:durableId="865946830">
    <w:abstractNumId w:val="13"/>
  </w:num>
  <w:num w:numId="9" w16cid:durableId="1059476408">
    <w:abstractNumId w:val="6"/>
  </w:num>
  <w:num w:numId="10" w16cid:durableId="1400860110">
    <w:abstractNumId w:val="17"/>
  </w:num>
  <w:num w:numId="11" w16cid:durableId="982006611">
    <w:abstractNumId w:val="9"/>
  </w:num>
  <w:num w:numId="12" w16cid:durableId="1537237788">
    <w:abstractNumId w:val="2"/>
  </w:num>
  <w:num w:numId="13" w16cid:durableId="987900211">
    <w:abstractNumId w:val="14"/>
  </w:num>
  <w:num w:numId="14" w16cid:durableId="1041050890">
    <w:abstractNumId w:val="10"/>
  </w:num>
  <w:num w:numId="15" w16cid:durableId="1289316614">
    <w:abstractNumId w:val="1"/>
  </w:num>
  <w:num w:numId="16" w16cid:durableId="2126657369">
    <w:abstractNumId w:val="15"/>
  </w:num>
  <w:num w:numId="17" w16cid:durableId="1778477239">
    <w:abstractNumId w:val="0"/>
  </w:num>
  <w:num w:numId="18" w16cid:durableId="9902088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2A"/>
    <w:rsid w:val="001719F7"/>
    <w:rsid w:val="007C205E"/>
    <w:rsid w:val="0099759D"/>
    <w:rsid w:val="00A243B7"/>
    <w:rsid w:val="00A52D98"/>
    <w:rsid w:val="00A61B2A"/>
    <w:rsid w:val="00E74E71"/>
    <w:rsid w:val="00F549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5A7E"/>
  <w15:chartTrackingRefBased/>
  <w15:docId w15:val="{85E982B0-1D77-4163-9B20-1334A856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B2A"/>
    <w:rPr>
      <w:rFonts w:eastAsiaTheme="majorEastAsia" w:cstheme="majorBidi"/>
      <w:color w:val="272727" w:themeColor="text1" w:themeTint="D8"/>
    </w:rPr>
  </w:style>
  <w:style w:type="paragraph" w:styleId="Title">
    <w:name w:val="Title"/>
    <w:basedOn w:val="Normal"/>
    <w:next w:val="Normal"/>
    <w:link w:val="TitleChar"/>
    <w:uiPriority w:val="10"/>
    <w:qFormat/>
    <w:rsid w:val="00A61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B2A"/>
    <w:pPr>
      <w:spacing w:before="160"/>
      <w:jc w:val="center"/>
    </w:pPr>
    <w:rPr>
      <w:i/>
      <w:iCs/>
      <w:color w:val="404040" w:themeColor="text1" w:themeTint="BF"/>
    </w:rPr>
  </w:style>
  <w:style w:type="character" w:customStyle="1" w:styleId="QuoteChar">
    <w:name w:val="Quote Char"/>
    <w:basedOn w:val="DefaultParagraphFont"/>
    <w:link w:val="Quote"/>
    <w:uiPriority w:val="29"/>
    <w:rsid w:val="00A61B2A"/>
    <w:rPr>
      <w:i/>
      <w:iCs/>
      <w:color w:val="404040" w:themeColor="text1" w:themeTint="BF"/>
    </w:rPr>
  </w:style>
  <w:style w:type="paragraph" w:styleId="ListParagraph">
    <w:name w:val="List Paragraph"/>
    <w:basedOn w:val="Normal"/>
    <w:uiPriority w:val="34"/>
    <w:qFormat/>
    <w:rsid w:val="00A61B2A"/>
    <w:pPr>
      <w:ind w:left="720"/>
      <w:contextualSpacing/>
    </w:pPr>
  </w:style>
  <w:style w:type="character" w:styleId="IntenseEmphasis">
    <w:name w:val="Intense Emphasis"/>
    <w:basedOn w:val="DefaultParagraphFont"/>
    <w:uiPriority w:val="21"/>
    <w:qFormat/>
    <w:rsid w:val="00A61B2A"/>
    <w:rPr>
      <w:i/>
      <w:iCs/>
      <w:color w:val="2F5496" w:themeColor="accent1" w:themeShade="BF"/>
    </w:rPr>
  </w:style>
  <w:style w:type="paragraph" w:styleId="IntenseQuote">
    <w:name w:val="Intense Quote"/>
    <w:basedOn w:val="Normal"/>
    <w:next w:val="Normal"/>
    <w:link w:val="IntenseQuoteChar"/>
    <w:uiPriority w:val="30"/>
    <w:qFormat/>
    <w:rsid w:val="00A61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B2A"/>
    <w:rPr>
      <w:i/>
      <w:iCs/>
      <w:color w:val="2F5496" w:themeColor="accent1" w:themeShade="BF"/>
    </w:rPr>
  </w:style>
  <w:style w:type="character" w:styleId="IntenseReference">
    <w:name w:val="Intense Reference"/>
    <w:basedOn w:val="DefaultParagraphFont"/>
    <w:uiPriority w:val="32"/>
    <w:qFormat/>
    <w:rsid w:val="00A61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1645</Words>
  <Characters>11138</Characters>
  <Application>Microsoft Office Word</Application>
  <DocSecurity>0</DocSecurity>
  <Lines>195</Lines>
  <Paragraphs>127</Paragraphs>
  <ScaleCrop>false</ScaleCrop>
  <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اسامه وليد محمد عبد الهادى صبح</dc:creator>
  <cp:keywords/>
  <dc:description/>
  <cp:lastModifiedBy>اسامه وليد محمد عبد الهادى صبح</cp:lastModifiedBy>
  <cp:revision>3</cp:revision>
  <dcterms:created xsi:type="dcterms:W3CDTF">2025-10-29T21:53:00Z</dcterms:created>
  <dcterms:modified xsi:type="dcterms:W3CDTF">2025-10-29T21:53:00Z</dcterms:modified>
</cp:coreProperties>
</file>