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1: Motion</w:t>
      </w:r>
    </w:p>
    <w:p>
      <w:r>
        <w:t>Motion changes when a force acts. A larger mass needs a larger force for the same change.</w:t>
      </w:r>
    </w:p>
    <w:p>
      <w:r>
        <w:t>A diagram sits in a text box here.</w:t>
      </w:r>
      <w:r>
        <w:pict>
          <v:shape style="width:200pt;height:60pt">
            <v:textbox>
              <w:txbxContent>
                <w:tbl>
                  <w:tblPr/>
                  <w:tblGrid>
                    <w:gridCol/>
                    <w:gridCol/>
                  </w:tblGrid>
                  <w:tr>
                    <w:tc>
                      <w:p>
                        <w:r>
                          <w:t>mass</w:t>
                        </w:r>
                      </w:p>
                    </w:tc>
                    <w:tc>
                      <w:p>
                        <w:r>
                          <w:t>force</w:t>
                        </w:r>
                      </w:p>
                    </w:tc>
                  </w:tr>
                </w:tbl>
                <w:p/>
              </w:txbxContent>
            </v:textbox>
          </v:shape>
        </w:pict>
      </w:r>
    </w:p>
    <w:p>
      <w:r>
        <w:t>Motion changes when a force acts. A larger mass needs a larger force for the same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