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p>
      <w:r>
        <w:t>A claim that needs a source number 1.</w:t>
      </w:r>
      <w:r>
        <w:footnoteReference w:id="1"/>
      </w:r>
    </w:p>
    <w:p>
      <w:r>
        <w:t>A claim that needs a source number 2.</w:t>
      </w:r>
      <w:r>
        <w:footnoteReference w:id="2"/>
      </w:r>
    </w:p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Newton 1687.</w:t>
      </w:r>
    </w:p>
  </w:footnote>
  <w:footnote w:id="2">
    <w:p>
      <w:r>
        <w:t>Halliday 2013.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n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