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1: Motion</w:t>
      </w:r>
    </w:p>
    <w:p>
      <w:r>
        <w:t>Motion changes when a force acts. A larger mass needs a larger force for the same change.</w:t>
      </w:r>
    </w:p>
    <w:p>
      <w:pPr>
        <w:pStyle w:val="Heading2"/>
      </w:pPr>
      <w:r>
        <w:t>Forces</w:t>
      </w:r>
    </w:p>
    <w:p>
      <w:r>
        <w:t>Motion changes when a force acts. A larger mass needs a larger force for the same change.</w:t>
      </w:r>
    </w:p>
    <w:p>
      <w:pPr>
        <w:pStyle w:val="Heading3"/>
      </w:pPr>
      <w:r>
        <w:t>Friction</w:t>
      </w:r>
    </w:p>
    <w:p>
      <w:r>
        <w:t>Motion changes when a force acts. A larger mass needs a larger force for the same change.</w:t>
      </w:r>
    </w:p>
    <w:p>
      <w:r>
        <w:rPr>
          <w:b/>
        </w:rPr>
        <w:t>Summary Notes</w:t>
      </w:r>
    </w:p>
    <w:p>
      <w:r>
        <w:t>Motion changes when a force acts. A larger mass needs a larger force for the same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