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w:t>
      </w:r>
      <w:r>
        <w:t xml:space="preserve"> </w:t>
      </w:r>
      <w:r>
        <w:rPr>
          <w:bCs/>
          <w:b/>
        </w:rPr>
        <w:t xml:space="preserve">57%</w:t>
      </w:r>
      <w:r>
        <w:t xml:space="preserve"> </w:t>
      </w:r>
      <w:r>
        <w:t xml:space="preserve">of supplements tested didn’t match their label (Crawford et al., JAMA Network Open 2022) ·</w:t>
      </w:r>
      <w:r>
        <w:t xml:space="preserve"> </w:t>
      </w:r>
      <w:r>
        <w:rPr>
          <w:bCs/>
          <w:b/>
        </w:rPr>
        <w:t xml:space="preserve">3–8%</w:t>
      </w:r>
      <w:r>
        <w:t xml:space="preserve"> </w:t>
      </w:r>
      <w:r>
        <w:t xml:space="preserve">muscle lost every decade after 30 (Volpi et al., Curr Opin Clin Nutr Metab Care 2004) ·</w:t>
      </w:r>
      <w:r>
        <w:t xml:space="preserve"> </w:t>
      </w:r>
      <w:r>
        <w:rPr>
          <w:bCs/>
          <w:b/>
        </w:rPr>
        <w:t xml:space="preserve">50%</w:t>
      </w:r>
      <w:r>
        <w:t xml:space="preserve"> </w:t>
      </w:r>
      <w:r>
        <w:t xml:space="preserve">less NAD+ by middle age (Massudi et al., PLoS ONE 2012, analysed in Peluso et al., Nutrients 2022) ·</w:t>
      </w:r>
      <w:r>
        <w:t xml:space="preserve"> </w:t>
      </w:r>
      <w:r>
        <w:rPr>
          <w:bCs/>
          <w:b/>
        </w:rPr>
        <w:t xml:space="preserve">~50%</w:t>
      </w:r>
      <w:r>
        <w:t xml:space="preserve"> </w:t>
      </w:r>
      <w:r>
        <w:t xml:space="preserve">drop in muscle mitochondrial capacity and energy between your 40s and late 60s (Conley et al., Journal of Physiology 2000).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2026-10-30T10:25:43Z</dcterms:created>
  <dcterms:modified xsi:type="dcterms:W3CDTF">2026-10-30T10:25:43Z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