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4213D"/>
          <w:sz w:val="34"/>
          <w:szCs w:val="34"/>
        </w:rPr>
        <w:t xml:space="preserve">Detector de Obfuscação: ficha de decisões</w:t>
      </w:r>
    </w:p>
    <w:p>
      <w:pPr>
        <w:spacing w:after="240"/>
      </w:pPr>
      <w:r>
        <w:rPr>
          <w:color w:val="586473"/>
          <w:sz w:val="21"/>
          <w:szCs w:val="21"/>
        </w:rPr>
        <w:t xml:space="preserve">Formação em IA generativa para advogados · para decisão da firma</w:t>
      </w:r>
    </w:p>
    <w:p>
      <w:pPr>
        <w:pStyle w:val="Heading2"/>
      </w:pPr>
      <w:r>
        <w:t xml:space="preserve">O que é e o que se pede</w:t>
      </w:r>
    </w:p>
    <w:p>
      <w:pPr>
        <w:spacing w:after="120" w:line="276"/>
      </w:pPr>
      <w:r>
        <w:t xml:space="preserve">O Detector de Obfuscação é uma ferramenta de triagem de textos jurídicos: assinala linguagem que obscurece o que está demonstrado e argumentos mais fracos do que parecem, num painel com o texto anotado, uma tabela de achados e diligências sugeridas. Foi usada na formação como artefacto do Claude, que só funciona para quem o abre dentro da aplicação. Para que todos os participantes a possam usar, e continuar a usar depois da formação, fica como aplicação web.</w:t>
      </w:r>
    </w:p>
    <w:p>
      <w:pPr>
        <w:spacing w:after="120" w:line="276"/>
      </w:pPr>
      <w:r>
        <w:t xml:space="preserve">A aplicação está pronta. Não tem dependências, corre em qualquer servidor com Node 18 ou superior (ou em Docker) e também no Vercel. Para a análise chama o Claude através da API, com uma chave da firma. Deixámos em aberto, para a firma decidir, tudo o que depende da sua política: a chave, o acesso, os limites e o alojamento.</w:t>
      </w:r>
    </w:p>
    <w:p>
      <w:pPr>
        <w:pStyle w:val="Heading2"/>
      </w:pPr>
      <w:r>
        <w:t xml:space="preserve">Decisões em aberto</w:t>
      </w:r>
    </w:p>
    <w:p>
      <w:pPr>
        <w:spacing w:after="120" w:line="276"/>
      </w:pPr>
      <w:r>
        <w:t xml:space="preserve">A coluna «Proposta inicial» é só um ponto de partida. A última coluna é para a firma preencher.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500"/>
        <w:gridCol w:w="2700"/>
        <w:gridCol w:w="2266"/>
        <w:gridCol w:w="2000"/>
      </w:tblGrid>
      <w:tr>
        <w:trPr>
          <w:tblHeader/>
        </w:trPr>
        <w:tc>
          <w:tcPr>
            <w:tcW w:type="dxa" w:w="56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N.º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Opções</w:t>
            </w:r>
          </w:p>
        </w:tc>
        <w:tc>
          <w:tcPr>
            <w:tcW w:type="dxa" w:w="226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Proposta inicial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Decisão da firma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Alojamento</w:t>
            </w:r>
          </w:p>
        </w:tc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Servidor da firma (Node 18+ ou Docker) · Vercel · outro</w:t>
            </w:r>
          </w:p>
        </w:tc>
        <w:tc>
          <w:tcPr>
            <w:tcW w:type="dxa" w:w="226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Servidor da firma, se forem usados documentos reais. Vercel é aceitável para demonstrações com textos fictícios.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Chave da API</w:t>
            </w:r>
          </w:p>
        </w:tc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Chave da API Claude da firma, criada na consola da Anthropic, num espaço de trabalho dedicado · gateway compatível com a API da Anthropic · Bedrock ou Vertex (exige adaptação, não incluída)</w:t>
            </w:r>
          </w:p>
        </w:tc>
        <w:tc>
          <w:tcPr>
            <w:tcW w:type="dxa" w:w="226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Chave da firma em espaço de trabalho dedicado, guardada como variável de ambiente.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Dados e retenção</w:t>
            </w:r>
          </w:p>
        </w:tc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Termos contratados com o fornecedor (retenção, treino, local de tratamento), acordo de tratamento de dados, parecer do encarregado de protecção de dados</w:t>
            </w:r>
          </w:p>
        </w:tc>
        <w:tc>
          <w:tcPr>
            <w:tcW w:type="dxa" w:w="226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 confirmar antes de qualquer uso com documentos reais.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Acesso (login)</w:t>
            </w:r>
          </w:p>
        </w:tc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Código de acesso (um por pessoa dá quotas individuais) · SSO da firma por proxy, com o e-mail num cabeçalho · OIDC próprio (a desenvolver)</w:t>
            </w:r>
          </w:p>
        </w:tc>
        <w:tc>
          <w:tcPr>
            <w:tcW w:type="dxa" w:w="226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Fase 1: um código por participante. Fase 2: SSO da firma.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Formadores</w:t>
            </w:r>
          </w:p>
        </w:tc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Quem vê o gabarito dos exemplos (por código ou por e-mail)</w:t>
            </w:r>
          </w:p>
        </w:tc>
        <w:tc>
          <w:tcPr>
            <w:tcW w:type="dxa" w:w="226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Os dois formadores.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Modelos</w:t>
            </w:r>
          </w:p>
        </w:tc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Modelo normal e modelo da «análise mais profunda» (pode ser desligada)</w:t>
            </w:r>
          </w:p>
        </w:tc>
        <w:tc>
          <w:tcPr>
            <w:tcW w:type="dxa" w:w="226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Valores iniciais: claude-sonnet-5-5 e claude-opus-5-5. Confirmar os modelos e o custo contratados.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Tamanho máximo do texto</w:t>
            </w:r>
          </w:p>
        </w:tc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Bytes de texto principal e de apoio por análise</w:t>
            </w:r>
          </w:p>
        </w:tc>
        <w:tc>
          <w:tcPr>
            <w:tcW w:type="dxa" w:w="226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50 000 bytes (cerca de 45 000 caracteres).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Análises por pessoa e por dia</w:t>
            </w:r>
          </w:p>
        </w:tc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Número; 0 = sem limite</w:t>
            </w:r>
          </w:p>
        </w:tc>
        <w:tc>
          <w:tcPr>
            <w:tcW w:type="dxa" w:w="226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Análises por dia, no total</w:t>
            </w:r>
          </w:p>
        </w:tc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Número; 0 = sem limite</w:t>
            </w:r>
          </w:p>
        </w:tc>
        <w:tc>
          <w:tcPr>
            <w:tcW w:type="dxa" w:w="226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Tokens por dia, no total</w:t>
            </w:r>
          </w:p>
        </w:tc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Número; 0 = sem limite</w:t>
            </w:r>
          </w:p>
        </w:tc>
        <w:tc>
          <w:tcPr>
            <w:tcW w:type="dxa" w:w="226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0 (sem limite; usar o limite de gasto)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Análises em simultâneo</w:t>
            </w:r>
          </w:p>
        </w:tc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Número</w:t>
            </w:r>
          </w:p>
        </w:tc>
        <w:tc>
          <w:tcPr>
            <w:tcW w:type="dxa" w:w="226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Limite de gasto na consola da Anthropic</w:t>
            </w:r>
          </w:p>
        </w:tc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 mensal ou diário</w:t>
            </w:r>
          </w:p>
        </w:tc>
        <w:tc>
          <w:tcPr>
            <w:tcW w:type="dxa" w:w="226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Obrigatório. É o limite que conta; os contadores da aplicação estão em memória.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Registos</w:t>
            </w:r>
          </w:p>
        </w:tc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O que se guarda, durante quanto tempo, quem acede</w:t>
            </w:r>
          </w:p>
        </w:tc>
        <w:tc>
          <w:tcPr>
            <w:tcW w:type="dxa" w:w="226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Só metadados (hora, tamanho, consumo, identificador em hash). Nunca o texto.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Aviso no ecrã</w:t>
            </w:r>
          </w:p>
        </w:tc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Texto sobre o tratamento do documento</w:t>
            </w:r>
          </w:p>
        </w:tc>
        <w:tc>
          <w:tcPr>
            <w:tcW w:type="dxa" w:w="226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Texto por omissão, a rever pela firma.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Endereço e certificado</w:t>
            </w:r>
          </w:p>
        </w:tc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URL e quem o gere</w:t>
            </w:r>
          </w:p>
        </w:tc>
        <w:tc>
          <w:tcPr>
            <w:tcW w:type="dxa" w:w="226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Responsável técnico e data do teste</w:t>
            </w:r>
          </w:p>
        </w:tc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>Nome e data</w:t>
            </w:r>
          </w:p>
        </w:tc>
        <w:tc>
          <w:tcPr>
            <w:tcW w:type="dxa" w:w="226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t xml:space="preserve">Notas de segurança e limites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 chave da API fica só no servidor, numa variável de ambiente, e nunca é enviada ao browser.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 texto analisado não é guardado. O servidor regista apenas metadados. O prompt é construído no servidor, para que o browser não possa enviar instruções arbitrárias à API.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 modo de acesso por SSO (proxy) só deve ser usado quando a aplicação não for acessível sem passar pelo proxy da firma; caso contrário o cabeçalho com o e-mail pode ser forjado.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Os contadores de limites estão em memória: servem a um servidor único e reiniciam com ele. Em ambientes sem estado, como o Vercel, são apenas indicativos. O limite de gasto na consola da Anthropic é o limite de referência.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 leitura de ficheiros .docx e .pdf usa duas bibliotecas carregadas de uma rede de distribuição (jsDelivr). Se a rede da firma as bloquear, podem ser alojadas no próprio servidor. Colar o texto funciona sempre.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 ferramenta faz triagem de fragilidades. Não é prova nem conclui sobre intenção, e o resultado tem de ser verificado pelo advogado responsável.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 pacote foi testado com uma API simulada (50 verificações no servidor e um teste completo no browser). Ainda não foi testado com a chave real da firma: é o primeiro passo do teste conjunto.</w:t>
      </w:r>
    </w:p>
    <w:p>
      <w:pPr>
        <w:pStyle w:val="Heading2"/>
      </w:pPr>
      <w:r>
        <w:t xml:space="preserve">Instalação, em resumo</w:t>
      </w:r>
    </w:p>
    <w:p>
      <w:pPr>
        <w:spacing w:after="120" w:line="276"/>
      </w:pPr>
      <w:r>
        <w:rPr>
          <w:b/>
          <w:bCs/>
        </w:rPr>
        <w:t xml:space="preserve">Servidor da firma. </w:t>
      </w:r>
      <w:r>
        <w:t xml:space="preserve">Copiar a pasta, criar o ficheiro .env a partir do modelo .env.example, preencher as variáveis e correr «npm start», ou construir a imagem com o Dockerfile incluído.</w:t>
      </w:r>
    </w:p>
    <w:p>
      <w:pPr>
        <w:spacing w:after="120" w:line="276"/>
      </w:pPr>
      <w:r>
        <w:rPr>
          <w:b/>
          <w:bCs/>
        </w:rPr>
        <w:t xml:space="preserve">Vercel. </w:t>
      </w:r>
      <w:r>
        <w:t xml:space="preserve">Importar o repositório, definir as mesmas variáveis no projecto e publicar. O ficheiro vercel.json já está configurado.</w:t>
      </w:r>
    </w:p>
    <w:p>
      <w:pPr>
        <w:pStyle w:val="Heading2"/>
      </w:pPr>
      <w:r>
        <w:t xml:space="preserve">Teste conjunto, depois da instalação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Abrir o endereço e entrar com um código de acesso.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Carregar o exemplo «Horizonte» e analisar. O resultado deve mostrar achados sobre o preço, o conflito de interesses, o banco e a gestão corrente.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Entrar como formador e confirmar que aparece o gabarito.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Testar os limites: esgotar a quota de um código e confirmar a mensagem.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Analisar um documento anonimizado da firma.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Confirmar nos registos do servidor que não há texto nem códigos, só metadados.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Detector de Obfuscação · ficha de decisões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2026-10-13T18:42:04.431Z</dcterms:created>
  <dcterms:modified xsi:type="dcterms:W3CDTF">2026-10-13T18:42:04.431Z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