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CONTRATO DE ARRENDAMENTO NÃO HABITACIONAL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Imobiliária Vale do Ave, Lda. / Aurora Têxteis, S.A. · documento 3 de 3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spacing w:after="120" w:line="276"/>
      </w:pPr>
      <w:r>
        <w:t xml:space="preserve">Entre a Senhoria e a Arrendatária, identificadas na cláusula 1.ª, é celebrado o presente contrato, que se rege pelas cláusulas seguintes:</w:t>
      </w:r>
    </w:p>
    <w:p>
      <w:pPr>
        <w:keepNext/>
        <w:spacing w:after="60" w:before="200"/>
      </w:pPr>
      <w:r>
        <w:rPr>
          <w:b/>
          <w:bCs/>
        </w:rPr>
        <w:t xml:space="preserve">Cláusula 1.ª — Objecto</w:t>
      </w:r>
    </w:p>
    <w:p>
      <w:pPr>
        <w:spacing w:after="120" w:line="276"/>
        <w:jc w:val="both"/>
      </w:pPr>
      <w:r>
        <w:t xml:space="preserve">A Imobiliária Vale do Ave, Lda. (Senhoria) dá de arrendamento à Aurora Têxteis, S.A. (Arrendatária) o armazém sito na Zona Industrial de Creixomil, Guimarães, com a área de 3 200 m², para fins industriais e de armazenagem.</w:t>
      </w:r>
    </w:p>
    <w:p>
      <w:pPr>
        <w:keepNext/>
        <w:spacing w:after="60" w:before="200"/>
      </w:pPr>
      <w:r>
        <w:rPr>
          <w:b/>
          <w:bCs/>
        </w:rPr>
        <w:t xml:space="preserve">Cláusula 2.ª — Prazo</w:t>
      </w:r>
    </w:p>
    <w:p>
      <w:pPr>
        <w:spacing w:after="120" w:line="276"/>
        <w:jc w:val="both"/>
      </w:pPr>
      <w:r>
        <w:t xml:space="preserve">O arrendamento é celebrado por dez anos, com início na data de assinatura, renovando-se por períodos de cinco anos se nenhuma das partes se opuser com um ano de antecedência.</w:t>
      </w:r>
    </w:p>
    <w:p>
      <w:pPr>
        <w:keepNext/>
        <w:spacing w:after="60" w:before="200"/>
      </w:pPr>
      <w:r>
        <w:rPr>
          <w:b/>
          <w:bCs/>
        </w:rPr>
        <w:t xml:space="preserve">Cláusula 3.ª — Renda</w:t>
      </w:r>
    </w:p>
    <w:p>
      <w:pPr>
        <w:spacing w:after="120" w:line="276"/>
        <w:jc w:val="both"/>
      </w:pPr>
      <w:r>
        <w:t xml:space="preserve">A renda mensal é de 4 800 euros, actualizada anualmente de acordo com o coeficiente legal, e é paga até ao dia 8 do mês anterior àquele a que respeita.</w:t>
      </w:r>
    </w:p>
    <w:p>
      <w:pPr>
        <w:keepNext/>
        <w:spacing w:after="60" w:before="200"/>
      </w:pPr>
      <w:r>
        <w:rPr>
          <w:b/>
          <w:bCs/>
        </w:rPr>
        <w:t xml:space="preserve">Cláusula 4.ª — Caução</w:t>
      </w:r>
    </w:p>
    <w:p>
      <w:pPr>
        <w:spacing w:after="120" w:line="276"/>
        <w:jc w:val="both"/>
      </w:pPr>
      <w:r>
        <w:t xml:space="preserve">A Arrendatária presta uma caução equivalente a três rendas, restituída no termo do contrato.</w:t>
      </w:r>
    </w:p>
    <w:p>
      <w:pPr>
        <w:keepNext/>
        <w:spacing w:after="60" w:before="200"/>
      </w:pPr>
      <w:r>
        <w:rPr>
          <w:b/>
          <w:bCs/>
        </w:rPr>
        <w:t xml:space="preserve">Cláusula 5.ª — Obras</w:t>
      </w:r>
    </w:p>
    <w:p>
      <w:pPr>
        <w:spacing w:after="120" w:line="276"/>
        <w:jc w:val="both"/>
      </w:pPr>
      <w:r>
        <w:t xml:space="preserve">As obras de conservação ordinária são da responsabilidade da Arrendatária. As obras estruturais dependem de autorização escrita da Senhoria.</w:t>
      </w:r>
    </w:p>
    <w:p>
      <w:pPr>
        <w:keepNext/>
        <w:spacing w:after="60" w:before="200"/>
      </w:pPr>
      <w:r>
        <w:rPr>
          <w:b/>
          <w:bCs/>
        </w:rPr>
        <w:t xml:space="preserve">Cláusula 6.ª — Denúncia pela Arrendatária</w:t>
      </w:r>
    </w:p>
    <w:p>
      <w:pPr>
        <w:spacing w:after="120" w:line="276"/>
        <w:jc w:val="both"/>
      </w:pPr>
      <w:r>
        <w:t xml:space="preserve">A Arrendatária não pode denunciar o contrato antes de decorridos seis anos da sua vigência. Depois desse prazo, pode fazê-lo com doze meses de antecedência.</w:t>
      </w:r>
    </w:p>
    <w:p>
      <w:pPr>
        <w:keepNext/>
        <w:spacing w:after="60" w:before="200"/>
      </w:pPr>
      <w:r>
        <w:rPr>
          <w:b/>
          <w:bCs/>
        </w:rPr>
        <w:t xml:space="preserve">Cláusula 7.ª — Seguros</w:t>
      </w:r>
    </w:p>
    <w:p>
      <w:pPr>
        <w:spacing w:after="120" w:line="276"/>
        <w:jc w:val="both"/>
      </w:pPr>
      <w:r>
        <w:t xml:space="preserve">A Arrendatária mantém seguro multirriscos do imóvel e seguro de responsabilidade civil, com a Senhoria como beneficiária.</w:t>
      </w:r>
    </w:p>
    <w:p>
      <w:pPr>
        <w:keepNext/>
        <w:spacing w:after="60" w:before="200"/>
      </w:pPr>
      <w:r>
        <w:rPr>
          <w:b/>
          <w:bCs/>
        </w:rPr>
        <w:t xml:space="preserve">Cláusula 8.ª — Cessão</w:t>
      </w:r>
    </w:p>
    <w:p>
      <w:pPr>
        <w:spacing w:after="120" w:line="276"/>
        <w:jc w:val="both"/>
      </w:pPr>
      <w:r>
        <w:t xml:space="preserve">A cessão da posição contratual, o subarrendamento e o trespasse dependem de consentimento prévio e escrito da Senhoria.</w:t>
      </w:r>
    </w:p>
    <w:p>
      <w:pPr>
        <w:keepNext/>
        <w:spacing w:after="60" w:before="200"/>
      </w:pPr>
      <w:r>
        <w:rPr>
          <w:b/>
          <w:bCs/>
        </w:rPr>
        <w:t xml:space="preserve">Cláusula 9.ª — Mudança de controlo</w:t>
      </w:r>
    </w:p>
    <w:p>
      <w:pPr>
        <w:spacing w:after="120" w:line="276"/>
        <w:jc w:val="both"/>
      </w:pPr>
      <w:r>
        <w:t xml:space="preserve">Para efeitos da cláusula anterior, equipara-se à cessão da posição contratual qualquer transmissão de mais de 50% do capital social da Arrendatária, sendo necessário o consentimento da Senhoria, que a pode recusar sem necessidade de justificação.</w:t>
      </w:r>
    </w:p>
    <w:p>
      <w:pPr>
        <w:keepNext/>
        <w:spacing w:after="60" w:before="200"/>
      </w:pPr>
      <w:r>
        <w:rPr>
          <w:b/>
          <w:bCs/>
        </w:rPr>
        <w:t xml:space="preserve">Cláusula 10.ª — Resolução</w:t>
      </w:r>
    </w:p>
    <w:p>
      <w:pPr>
        <w:spacing w:after="120" w:line="276"/>
        <w:jc w:val="both"/>
      </w:pPr>
      <w:r>
        <w:t xml:space="preserve">A falta de pagamento da renda por mais de 30 dias confere à Senhoria o direito de resolver o contrato.</w:t>
      </w:r>
    </w:p>
    <w:p>
      <w:pPr>
        <w:keepNext/>
        <w:spacing w:after="60" w:before="200"/>
      </w:pPr>
      <w:r>
        <w:rPr>
          <w:b/>
          <w:bCs/>
        </w:rPr>
        <w:t xml:space="preserve">Cláusula 11.ª — Lei aplicável e foro</w:t>
      </w:r>
    </w:p>
    <w:p>
      <w:pPr>
        <w:spacing w:after="120" w:line="276"/>
        <w:jc w:val="both"/>
      </w:pPr>
      <w:r>
        <w:t xml:space="preserve">O contrato rege-se pela lei portuguesa e é competente o foro da comarca de Guimarães.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Guimarães, ___ de __________ de 2023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A Senhoria: [assinado]</w:t>
      </w:r>
    </w:p>
    <w:p>
      <w:pPr>
        <w:spacing w:after="120" w:line="276"/>
      </w:pPr>
      <w:r>
        <w:t xml:space="preserve">A Arrendatária: [assinado]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2026-10-14T09:00:03.047Z</dcterms:created>
  <dcterms:modified xsi:type="dcterms:W3CDTF">2026-10-14T09:00:03.047Z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