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CONTRATO DE FORNECIMENTO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Aurora Têxteis, Lda. / Retalhos do Norte, S.A. · documento 1 de 3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t xml:space="preserve">Entre as partes identificadas na cláusula 1.ª, e com o objecto aí descrito, é celebrado o presente contrato, que se rege pelas cláusulas seguintes:</w:t>
      </w:r>
    </w:p>
    <w:p>
      <w:pPr>
        <w:keepNext/>
        <w:spacing w:after="60" w:before="200"/>
      </w:pPr>
      <w:r>
        <w:rPr>
          <w:b/>
          <w:bCs/>
        </w:rPr>
        <w:t xml:space="preserve">Cláusula 1.ª — Objecto</w:t>
      </w:r>
    </w:p>
    <w:p>
      <w:pPr>
        <w:spacing w:after="120" w:line="276"/>
        <w:jc w:val="both"/>
      </w:pPr>
      <w:r>
        <w:t xml:space="preserve">A Aurora Têxteis, Lda., com sede na Rua das Fábricas, n.º 120, Guimarães (Fornecedora), obriga-se a fornecer à Retalhos do Norte, S.A., com sede na Rua de Santa Catarina, n.º 800, Porto (Cliente), os tecidos de algodão orgânico descritos no Anexo I.</w:t>
      </w:r>
    </w:p>
    <w:p>
      <w:pPr>
        <w:keepNext/>
        <w:spacing w:after="60" w:before="200"/>
      </w:pPr>
      <w:r>
        <w:rPr>
          <w:b/>
          <w:bCs/>
        </w:rPr>
        <w:t xml:space="preserve">Cláusula 2.ª — Duração</w:t>
      </w:r>
    </w:p>
    <w:p>
      <w:pPr>
        <w:spacing w:after="120" w:line="276"/>
        <w:jc w:val="both"/>
      </w:pPr>
      <w:r>
        <w:t xml:space="preserve">O contrato vigora por três anos a contar de 12 de Janeiro de 2024, renovando-se automaticamente por períodos de um ano, salvo denúncia por escrito com 90 dias de antecedência relativamente ao termo do período em curso.</w:t>
      </w:r>
    </w:p>
    <w:p>
      <w:pPr>
        <w:keepNext/>
        <w:spacing w:after="60" w:before="200"/>
      </w:pPr>
      <w:r>
        <w:rPr>
          <w:b/>
          <w:bCs/>
        </w:rPr>
        <w:t xml:space="preserve">Cláusula 3.ª — Exclusividade</w:t>
      </w:r>
    </w:p>
    <w:p>
      <w:pPr>
        <w:spacing w:after="120" w:line="276"/>
        <w:jc w:val="both"/>
      </w:pPr>
      <w:r>
        <w:t xml:space="preserve">Durante a vigência do contrato, a Fornecedora fornece os produtos em exclusivo à Cliente no distrito do Porto, não os podendo vender, directa ou indirectamente, a qualquer outro retalhista nesse território.</w:t>
      </w:r>
    </w:p>
    <w:p>
      <w:pPr>
        <w:keepNext/>
        <w:spacing w:after="60" w:before="200"/>
      </w:pPr>
      <w:r>
        <w:rPr>
          <w:b/>
          <w:bCs/>
        </w:rPr>
        <w:t xml:space="preserve">Cláusula 4.ª — Preços</w:t>
      </w:r>
    </w:p>
    <w:p>
      <w:pPr>
        <w:spacing w:after="120" w:line="276"/>
        <w:jc w:val="both"/>
      </w:pPr>
      <w:r>
        <w:t xml:space="preserve">Os preços constam do Anexo I e são actualizados anualmente em função da variação do índice de preços no produtor, com o limite de 4% ao ano.</w:t>
      </w:r>
    </w:p>
    <w:p>
      <w:pPr>
        <w:keepNext/>
        <w:spacing w:after="60" w:before="200"/>
      </w:pPr>
      <w:r>
        <w:rPr>
          <w:b/>
          <w:bCs/>
        </w:rPr>
        <w:t xml:space="preserve">Cláusula 5.ª — Encomendas e entrega</w:t>
      </w:r>
    </w:p>
    <w:p>
      <w:pPr>
        <w:spacing w:after="120" w:line="276"/>
        <w:jc w:val="both"/>
      </w:pPr>
      <w:r>
        <w:t xml:space="preserve">As encomendas são feitas por escrito com 30 dias de antecedência. A entrega faz-se nas instalações da Cliente, no Porto.</w:t>
      </w:r>
    </w:p>
    <w:p>
      <w:pPr>
        <w:keepNext/>
        <w:spacing w:after="60" w:before="200"/>
      </w:pPr>
      <w:r>
        <w:rPr>
          <w:b/>
          <w:bCs/>
        </w:rPr>
        <w:t xml:space="preserve">Cláusula 6.ª — Pagamento</w:t>
      </w:r>
    </w:p>
    <w:p>
      <w:pPr>
        <w:spacing w:after="120" w:line="276"/>
        <w:jc w:val="both"/>
      </w:pPr>
      <w:r>
        <w:t xml:space="preserve">As facturas são pagas a 60 dias a contar da data de emissão.</w:t>
      </w:r>
    </w:p>
    <w:p>
      <w:pPr>
        <w:keepNext/>
        <w:spacing w:after="60" w:before="200"/>
      </w:pPr>
      <w:r>
        <w:rPr>
          <w:b/>
          <w:bCs/>
        </w:rPr>
        <w:t xml:space="preserve">Cláusula 7.ª — Qualidade</w:t>
      </w:r>
    </w:p>
    <w:p>
      <w:pPr>
        <w:spacing w:after="120" w:line="276"/>
        <w:jc w:val="both"/>
      </w:pPr>
      <w:r>
        <w:t xml:space="preserve">Os produtos devem cumprir as especificações técnicas constantes do Anexo II. A Cliente pode rejeitar lotes não conformes no prazo de 15 dias após a entrega.</w:t>
      </w:r>
    </w:p>
    <w:p>
      <w:pPr>
        <w:keepNext/>
        <w:spacing w:after="60" w:before="200"/>
      </w:pPr>
      <w:r>
        <w:rPr>
          <w:b/>
          <w:bCs/>
        </w:rPr>
        <w:t xml:space="preserve">Cláusula 8.ª — Mudança de controlo</w:t>
      </w:r>
    </w:p>
    <w:p>
      <w:pPr>
        <w:spacing w:after="120" w:line="276"/>
        <w:jc w:val="both"/>
      </w:pPr>
      <w:r>
        <w:t xml:space="preserve">Se a Fornecedora sofrer uma alteração do respectivo controlo societário, a Cliente pode resolver o contrato com efeitos imediatos, mediante comunicação escrita, sem direito a qualquer indemnização à Fornecedora.</w:t>
      </w:r>
    </w:p>
    <w:p>
      <w:pPr>
        <w:keepNext/>
        <w:spacing w:after="60" w:before="200"/>
      </w:pPr>
      <w:r>
        <w:rPr>
          <w:b/>
          <w:bCs/>
        </w:rPr>
        <w:t xml:space="preserve">Cláusula 9.ª — Responsabilidade</w:t>
      </w:r>
    </w:p>
    <w:p>
      <w:pPr>
        <w:spacing w:after="120" w:line="276"/>
        <w:jc w:val="both"/>
      </w:pPr>
      <w:r>
        <w:t xml:space="preserve">A Fornecedora responde por todos os danos causados à Cliente em consequência do incumprimento do contrato, sem qualquer limite de valor.</w:t>
      </w:r>
    </w:p>
    <w:p>
      <w:pPr>
        <w:keepNext/>
        <w:spacing w:after="60" w:before="200"/>
      </w:pPr>
      <w:r>
        <w:rPr>
          <w:b/>
          <w:bCs/>
        </w:rPr>
        <w:t xml:space="preserve">Cláusula 10.ª — Resolução</w:t>
      </w:r>
    </w:p>
    <w:p>
      <w:pPr>
        <w:spacing w:after="120" w:line="276"/>
        <w:jc w:val="both"/>
      </w:pPr>
      <w:r>
        <w:t xml:space="preserve">Qualquer das partes pode resolver o contrato em caso de incumprimento grave, nos termos e com os efeitos previstos na cláusula 12.ª.</w:t>
      </w:r>
    </w:p>
    <w:p>
      <w:pPr>
        <w:keepNext/>
        <w:spacing w:after="60" w:before="200"/>
      </w:pPr>
      <w:r>
        <w:rPr>
          <w:b/>
          <w:bCs/>
        </w:rPr>
        <w:t xml:space="preserve">Cláusula 11.ª — Lei aplicável e foro</w:t>
      </w:r>
    </w:p>
    <w:p>
      <w:pPr>
        <w:spacing w:after="120" w:line="276"/>
        <w:jc w:val="both"/>
      </w:pPr>
      <w:r>
        <w:t xml:space="preserve">O contrato rege-se pela lei portuguesa. Para a resolução de litígios é competente o foro da comarca do Porto.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Anexos: Anexo I (Tabela de preços), junto. Anexo II (Especificações técnicas).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Guimarães, 12 de Janeiro de 2024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 Fornecedora: [assinado]</w:t>
      </w:r>
    </w:p>
    <w:p>
      <w:pPr>
        <w:spacing w:after="120" w:line="276"/>
      </w:pPr>
      <w:r>
        <w:t xml:space="preserve">A Cliente: [assinado]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2026-10-14T09:00:03.022Z</dcterms:created>
  <dcterms:modified xsi:type="dcterms:W3CDTF">2026-10-14T09:00:03.023Z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