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ACÓRDÃO DO TRIBUNAL DA RELAÇÃO DE MONTE ALTO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F-1187/22 · 9 de Novembro de 2022 · decisão fictícia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pStyle w:val="Heading2"/>
      </w:pPr>
      <w:r>
        <w:t xml:space="preserve">Sumário</w:t>
      </w:r>
    </w:p>
    <w:p>
      <w:pPr>
        <w:spacing w:after="120" w:line="276"/>
        <w:jc w:val="both"/>
      </w:pPr>
      <w:r>
        <w:t xml:space="preserve">I. O tribunal não pode reduzir oficiosamente a cláusula penal. II. Uma pena que corresponde a uma vez e meia o dano efectivo não é manifestamente excessiva.</w:t>
      </w:r>
    </w:p>
    <w:p>
      <w:pPr>
        <w:pStyle w:val="Heading2"/>
      </w:pPr>
      <w:r>
        <w:t xml:space="preserve">Factos</w:t>
      </w:r>
    </w:p>
    <w:p>
      <w:pPr>
        <w:spacing w:after="120" w:line="276"/>
        <w:jc w:val="both"/>
      </w:pPr>
      <w:r>
        <w:t xml:space="preserve">Num contrato de prestação de serviços de manutenção, as partes fixaram uma pena de 45 000 euros pelo incumprimento. O dano efectivo apurado foi de 30 000 euros. O devedor pediu a redução na contestação.</w:t>
      </w:r>
    </w:p>
    <w:p>
      <w:pPr>
        <w:pStyle w:val="Heading2"/>
      </w:pPr>
      <w:r>
        <w:t xml:space="preserve">Fundamentação</w:t>
      </w:r>
    </w:p>
    <w:p>
      <w:pPr>
        <w:spacing w:after="120" w:line="276"/>
        <w:jc w:val="both"/>
      </w:pPr>
      <w:r>
        <w:t xml:space="preserve">«Ao tribunal está vedado reduzir a pena sem que o devedor o peça.» Quanto ao critério, afirma-se que «a pena só é manifestamente excessiva quando ultrapassa de modo evidente o dano previsível à data da celebração do contrato e o dano real». Uma pena de 45 000 euros para um dano de 30 000 euros «não revela excesso manifesto».</w:t>
      </w:r>
    </w:p>
    <w:p>
      <w:pPr>
        <w:spacing w:after="120" w:line="276"/>
        <w:jc w:val="both"/>
      </w:pPr>
      <w:r>
        <w:t xml:space="preserve">Observa-se ainda, sem que a questão tenha de ser decidida, que em contratos celebrados por adesão o controlo do equilíbrio da pena seria mais exigente.</w:t>
      </w:r>
    </w:p>
    <w:p>
      <w:pPr>
        <w:pStyle w:val="Heading2"/>
      </w:pPr>
      <w:r>
        <w:t xml:space="preserve">Decisão</w:t>
      </w:r>
    </w:p>
    <w:p>
      <w:pPr>
        <w:spacing w:after="120" w:line="276"/>
        <w:jc w:val="both"/>
      </w:pPr>
      <w:r>
        <w:t xml:space="preserve">Nega-se a redução e mantém-se a pena de 45 000 euros.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Decisão fictícia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2026-10-14T08:59:21.914Z</dcterms:created>
  <dcterms:modified xsi:type="dcterms:W3CDTF">2026-10-14T08:59:21.914Z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