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ACÓRDÃO DO TRIBUNAL SUPERIOR DE JUSTIÇA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Processo F-0905/24 · 18 de Setembro de 2024 · decisão fictícia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pStyle w:val="Heading2"/>
      </w:pPr>
      <w:r>
        <w:t xml:space="preserve">Sumário</w:t>
      </w:r>
    </w:p>
    <w:p>
      <w:pPr>
        <w:spacing w:after="120" w:line="276"/>
        <w:jc w:val="both"/>
      </w:pPr>
      <w:r>
        <w:t xml:space="preserve">I. A redução da cláusula penal depende de invocação do devedor, bastando a alegação de que a pena é excessiva, sem necessidade de pedido formulado em termos rígidos. II. O ónus da prova do excesso cabe ao devedor.</w:t>
      </w:r>
    </w:p>
    <w:p>
      <w:pPr>
        <w:pStyle w:val="Heading2"/>
      </w:pPr>
      <w:r>
        <w:t xml:space="preserve">Factos</w:t>
      </w:r>
    </w:p>
    <w:p>
      <w:pPr>
        <w:spacing w:after="120" w:line="276"/>
        <w:jc w:val="both"/>
      </w:pPr>
      <w:r>
        <w:t xml:space="preserve">Em recurso, o Tribunal analisa a divergência entre as Relações quanto à necessidade de pedido do devedor. A pena em causa era de 90 000 euros por incumprimento de um contrato de fornecimento.</w:t>
      </w:r>
    </w:p>
    <w:p>
      <w:pPr>
        <w:pStyle w:val="Heading2"/>
      </w:pPr>
      <w:r>
        <w:t xml:space="preserve">Fundamentação</w:t>
      </w:r>
    </w:p>
    <w:p>
      <w:pPr>
        <w:spacing w:after="120" w:line="276"/>
        <w:jc w:val="both"/>
      </w:pPr>
      <w:r>
        <w:t xml:space="preserve">«A redução da pena não pode ser decretada sem que o devedor invoque, de forma clara, o carácter excessivo da pena; não se exige, porém, que formule um pedido em termos jurídicos rígidos, bastando que alegue factos de que resulte o excesso.» E ainda: «Compete ao devedor provar o dano efectivo ou previsível do credor, para que se aprecie a desproporção.»</w:t>
      </w:r>
    </w:p>
    <w:p>
      <w:pPr>
        <w:spacing w:after="120" w:line="276"/>
        <w:jc w:val="both"/>
      </w:pPr>
      <w:r>
        <w:t xml:space="preserve">A título de obiter dictum, o Tribunal refere que, em contratos de adesão, «poderá justificar-se um controlo adicional do equilíbrio da pena», questão que não cabe decidir neste processo.</w:t>
      </w:r>
    </w:p>
    <w:p>
      <w:pPr>
        <w:pStyle w:val="Heading2"/>
      </w:pPr>
      <w:r>
        <w:t xml:space="preserve">Decisão</w:t>
      </w:r>
    </w:p>
    <w:p>
      <w:pPr>
        <w:spacing w:after="120" w:line="276"/>
        <w:jc w:val="both"/>
      </w:pPr>
      <w:r>
        <w:t xml:space="preserve">Considerando que o devedor alegou factos de que resulta o excesso, mas não provou o dano efectivo, mantém-se a pena de 90 000 euros. Fica afastada a orientação do Acórdão de 21 de Fevereiro de 2024 da Relação de Vila Nova, na parte em que admite a redução oficiosa.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Decisão fictícia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2026-10-14T08:59:21.917Z</dcterms:created>
  <dcterms:modified xsi:type="dcterms:W3CDTF">2026-10-14T08:59:21.917Z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