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4213D"/>
          <w:sz w:val="30"/>
          <w:szCs w:val="30"/>
        </w:rPr>
        <w:t xml:space="preserve">ACÓRDÃO DO TRIBUNAL DA RELAÇÃO DE SANTA MARTA</w:t>
      </w:r>
    </w:p>
    <w:p>
      <w:pPr>
        <w:spacing w:after="300"/>
        <w:jc w:val="center"/>
      </w:pPr>
      <w:r>
        <w:rPr>
          <w:color w:val="586473"/>
          <w:sz w:val="20"/>
          <w:szCs w:val="20"/>
        </w:rPr>
        <w:t xml:space="preserve">Processo F-0310/25 · 5 de Maio de 2025 · decisão fictícia</w:t>
      </w:r>
    </w:p>
    <w:p>
      <w:pPr>
        <w:spacing w:after="160"/>
      </w:pPr>
      <w:r>
        <w:rPr>
          <w:i/>
          <w:iCs/>
          <w:color w:val="586473"/>
          <w:sz w:val="19"/>
          <w:szCs w:val="19"/>
        </w:rPr>
        <w:t xml:space="preserve">Documento inteiramente fictício. Partes, valores, decisões e cláusulas são inventados para fins de formação.</w:t>
      </w:r>
    </w:p>
    <w:p>
      <w:pPr>
        <w:pStyle w:val="Heading2"/>
      </w:pPr>
      <w:r>
        <w:t xml:space="preserve">Sumário</w:t>
      </w:r>
    </w:p>
    <w:p>
      <w:pPr>
        <w:spacing w:after="120" w:line="276"/>
        <w:jc w:val="both"/>
      </w:pPr>
      <w:r>
        <w:t xml:space="preserve">I. Contagem de juros de mora sobre a pena paga com atraso. II. Reafirma-se a orientação do Tribunal Superior de Justiça sobre a redução da cláusula penal.</w:t>
      </w:r>
    </w:p>
    <w:p>
      <w:pPr>
        <w:pStyle w:val="Heading2"/>
      </w:pPr>
      <w:r>
        <w:t xml:space="preserve">Factos</w:t>
      </w:r>
    </w:p>
    <w:p>
      <w:pPr>
        <w:spacing w:after="120" w:line="276"/>
        <w:jc w:val="both"/>
      </w:pPr>
      <w:r>
        <w:t xml:space="preserve">O credor pediu 80 000 euros de pena e juros de mora desde a data da interpelação. O devedor invocou na contestação que a pena era excessiva, alegando e provando que o dano real foi de 50 000 euros.</w:t>
      </w:r>
    </w:p>
    <w:p>
      <w:pPr>
        <w:pStyle w:val="Heading2"/>
      </w:pPr>
      <w:r>
        <w:t xml:space="preserve">Fundamentação</w:t>
      </w:r>
    </w:p>
    <w:p>
      <w:pPr>
        <w:spacing w:after="120" w:line="276"/>
        <w:jc w:val="both"/>
      </w:pPr>
      <w:r>
        <w:t xml:space="preserve">Quanto aos juros, «os juros de mora contam-se desde a data da interpelação para pagamento, e não desde a data do incumprimento», por a pena ser uma obrigação autónoma. Quanto à redução, o Tribunal segue «a orientação fixada pelo Tribunal Superior de Justiça no Acórdão de 18 de Setembro de 2024», aplicando-a ao caso: o devedor alegou o excesso e provou o dano.</w:t>
      </w:r>
    </w:p>
    <w:p>
      <w:pPr>
        <w:pStyle w:val="Heading2"/>
      </w:pPr>
      <w:r>
        <w:t xml:space="preserve">Decisão</w:t>
      </w:r>
    </w:p>
    <w:p>
      <w:pPr>
        <w:spacing w:after="120" w:line="276"/>
        <w:jc w:val="both"/>
      </w:pPr>
      <w:r>
        <w:t xml:space="preserve">A pena é reduzida de 80 000 para 55 000 euros, acrescida de juros de mora desde a interpelação.</w:t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Decisão fictícia · Documento inteiramente fictício, para fins de formação  · 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14213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Calibri" w:cs="Calibri" w:eastAsia="Calibri" w:hAnsi="Calibri"/>
      <w:b/>
      <w:bCs/>
      <w:color w:val="14213D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2026-10-14T08:59:21.919Z</dcterms:created>
  <dcterms:modified xsi:type="dcterms:W3CDTF">2026-10-14T08:59:21.919Z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