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CONTRATO DE FINANCIAMENTO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Banco do Tejo, S.A. / Aurora Têxteis, Lda. · documento 2 de 3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spacing w:after="120" w:line="276"/>
      </w:pPr>
      <w:r>
        <w:t xml:space="preserve">Entre o Banco do Tejo, S.A. e a Aurora Têxteis, Lda., é celebrado o presente contrato, que se rege pelas cláusulas seguintes:</w:t>
      </w:r>
    </w:p>
    <w:p>
      <w:pPr>
        <w:keepNext/>
        <w:spacing w:after="60" w:before="200"/>
      </w:pPr>
      <w:r>
        <w:rPr>
          <w:b/>
          <w:bCs/>
        </w:rPr>
        <w:t xml:space="preserve">Cláusula 1.ª — Objecto</w:t>
      </w:r>
    </w:p>
    <w:p>
      <w:pPr>
        <w:spacing w:after="120" w:line="276"/>
        <w:jc w:val="both"/>
      </w:pPr>
      <w:r>
        <w:t xml:space="preserve">O Banco do Tejo, S.A. (Banco) concede à Aurora Têxteis, Lda., com sede na Rua do Comércio, n.º 45, Vila Nova de Famalicão (Mutuária), um financiamento de 1 200 000 euros (Financiamento), destinado a reforço do fundo de maneio e investimento em equipamento produtivo.</w:t>
      </w:r>
    </w:p>
    <w:p>
      <w:pPr>
        <w:keepNext/>
        <w:spacing w:after="60" w:before="200"/>
      </w:pPr>
      <w:r>
        <w:rPr>
          <w:b/>
          <w:bCs/>
        </w:rPr>
        <w:t xml:space="preserve">Cláusula 2.ª — Utilização e juros</w:t>
      </w:r>
    </w:p>
    <w:p>
      <w:pPr>
        <w:spacing w:after="120" w:line="276"/>
        <w:jc w:val="both"/>
      </w:pPr>
      <w:r>
        <w:t xml:space="preserve">O Financiamento é utilizado numa única tranche a 15 de Março de 2026. Vence juros à taxa Euribor a seis meses acrescida de uma margem de 3,2% ao ano, pagáveis semestralmente.</w:t>
      </w:r>
    </w:p>
    <w:p>
      <w:pPr>
        <w:keepNext/>
        <w:spacing w:after="60" w:before="200"/>
      </w:pPr>
      <w:r>
        <w:rPr>
          <w:b/>
          <w:bCs/>
        </w:rPr>
        <w:t xml:space="preserve">Cláusula 3.ª — Reembolso</w:t>
      </w:r>
    </w:p>
    <w:p>
      <w:pPr>
        <w:spacing w:after="120" w:line="276"/>
        <w:jc w:val="both"/>
      </w:pPr>
      <w:r>
        <w:t xml:space="preserve">O capital é reembolsado em dez prestações semestrais iguais, vencendo-se a última a 31 de Dezembro de 2030, conforme o plano de amortização constante do Anexo I.</w:t>
      </w:r>
    </w:p>
    <w:p>
      <w:pPr>
        <w:keepNext/>
        <w:spacing w:after="60" w:before="200"/>
      </w:pPr>
      <w:r>
        <w:rPr>
          <w:b/>
          <w:bCs/>
        </w:rPr>
        <w:t xml:space="preserve">Cláusula 4.ª — Duração</w:t>
      </w:r>
    </w:p>
    <w:p>
      <w:pPr>
        <w:spacing w:after="120" w:line="276"/>
        <w:jc w:val="both"/>
      </w:pPr>
      <w:r>
        <w:t xml:space="preserve">O Financiamento tem a duração de cinco anos a contar de 15 de Março de 2026.</w:t>
      </w:r>
    </w:p>
    <w:p>
      <w:pPr>
        <w:keepNext/>
        <w:spacing w:after="60" w:before="200"/>
      </w:pPr>
      <w:r>
        <w:rPr>
          <w:b/>
          <w:bCs/>
        </w:rPr>
        <w:t xml:space="preserve">Cláusula 5.ª — Garantias</w:t>
      </w:r>
    </w:p>
    <w:p>
      <w:pPr>
        <w:spacing w:after="120" w:line="276"/>
        <w:jc w:val="both"/>
      </w:pPr>
      <w:r>
        <w:t xml:space="preserve">Em garantia do Financiamento, a Mutuária constitui penhor sobre a totalidade das quotas representativas do seu capital social, tituladas pelos respectivos sócios.</w:t>
      </w:r>
    </w:p>
    <w:p>
      <w:pPr>
        <w:keepNext/>
        <w:spacing w:after="60" w:before="200"/>
      </w:pPr>
      <w:r>
        <w:rPr>
          <w:b/>
          <w:bCs/>
        </w:rPr>
        <w:t xml:space="preserve">Cláusula 6.ª — Rácios financeiros</w:t>
      </w:r>
    </w:p>
    <w:p>
      <w:pPr>
        <w:spacing w:after="120" w:line="276"/>
        <w:jc w:val="both"/>
      </w:pPr>
      <w:r>
        <w:t xml:space="preserve">Durante a vida do Financiamento, a Mutuária mantém um rácio de dívida líquida sobre EBITDA igual ou inferior a 3,5, testado anualmente com base nas contas auditadas.</w:t>
      </w:r>
    </w:p>
    <w:p>
      <w:pPr>
        <w:keepNext/>
        <w:spacing w:after="60" w:before="200"/>
      </w:pPr>
      <w:r>
        <w:rPr>
          <w:b/>
          <w:bCs/>
        </w:rPr>
        <w:t xml:space="preserve">Cláusula 7.ª — Obrigações de informação</w:t>
      </w:r>
    </w:p>
    <w:p>
      <w:pPr>
        <w:spacing w:after="120" w:line="276"/>
        <w:jc w:val="both"/>
      </w:pPr>
      <w:r>
        <w:t xml:space="preserve">A Mutuária entrega ao Banco as contas anuais auditadas no prazo de 120 dias após o fim de cada exercício e notifica o Banco, no prazo de cinco dias úteis, de qualquer facto que possa constituir um caso de vencimento antecipado.</w:t>
      </w:r>
    </w:p>
    <w:p>
      <w:pPr>
        <w:keepNext/>
        <w:spacing w:after="60" w:before="200"/>
      </w:pPr>
      <w:r>
        <w:rPr>
          <w:b/>
          <w:bCs/>
        </w:rPr>
        <w:t xml:space="preserve">Cláusula 8.ª — Incumprimento cruzado</w:t>
      </w:r>
    </w:p>
    <w:p>
      <w:pPr>
        <w:spacing w:after="120" w:line="276"/>
        <w:jc w:val="both"/>
      </w:pPr>
      <w:r>
        <w:t xml:space="preserve">Constitui caso de vencimento antecipado o incumprimento, pela Mutuária, de qualquer outra obrigação financeira de valor superior a 50 000 euros, ainda que perante terceiros.</w:t>
      </w:r>
    </w:p>
    <w:p>
      <w:pPr>
        <w:keepNext/>
        <w:spacing w:after="60" w:before="200"/>
      </w:pPr>
      <w:r>
        <w:rPr>
          <w:b/>
          <w:bCs/>
        </w:rPr>
        <w:t xml:space="preserve">Cláusula 9.ª — Mudança de controlo</w:t>
      </w:r>
    </w:p>
    <w:p>
      <w:pPr>
        <w:spacing w:after="120" w:line="276"/>
        <w:jc w:val="both"/>
      </w:pPr>
      <w:r>
        <w:t xml:space="preserve">Constitui caso de vencimento antecipado qualquer alteração na titularidade, directa ou indirecta, de mais de 30% do capital social da Mutuária, sem consentimento prévio escrito do Banco. Verificado o caso, o Banco pode exigir o reembolso imediato da totalidade do capital e juros vencidos.</w:t>
      </w:r>
    </w:p>
    <w:p>
      <w:pPr>
        <w:keepNext/>
        <w:spacing w:after="60" w:before="200"/>
      </w:pPr>
      <w:r>
        <w:rPr>
          <w:b/>
          <w:bCs/>
        </w:rPr>
        <w:t xml:space="preserve">Cláusula 10.ª — Reembolso antecipado</w:t>
      </w:r>
    </w:p>
    <w:p>
      <w:pPr>
        <w:spacing w:after="120" w:line="276"/>
        <w:jc w:val="both"/>
      </w:pPr>
      <w:r>
        <w:t xml:space="preserve">A Mutuária só pode reembolsar antecipadamente o Financiamento, total ou parcialmente, mediante pré-aviso de 30 dias e pagamento de uma comissão de 2% sobre o montante reembolsado.</w:t>
      </w:r>
    </w:p>
    <w:p>
      <w:pPr>
        <w:keepNext/>
        <w:spacing w:after="60" w:before="200"/>
      </w:pPr>
      <w:r>
        <w:rPr>
          <w:b/>
          <w:bCs/>
        </w:rPr>
        <w:t xml:space="preserve">Cláusula 11.ª — Lei aplicável e foro</w:t>
      </w:r>
    </w:p>
    <w:p>
      <w:pPr>
        <w:spacing w:after="120" w:line="276"/>
        <w:jc w:val="both"/>
      </w:pPr>
      <w:r>
        <w:t xml:space="preserve">O contrato rege-se pela lei portuguesa. É competente o foro da comarca de Lisboa.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Anexos: Anexo I (Plano de amortização).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Lisboa, 15 de Março de 2026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A Mutuária: [assinado]</w:t>
      </w:r>
    </w:p>
    <w:p>
      <w:pPr>
        <w:spacing w:after="120" w:line="276"/>
      </w:pPr>
      <w:r>
        <w:t xml:space="preserve">O Banco: [por assinar]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2026-10-14T09:00:03.043Z</dcterms:created>
  <dcterms:modified xsi:type="dcterms:W3CDTF">2026-10-14T09:00:03.043Z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