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4213D"/>
          <w:sz w:val="30"/>
          <w:szCs w:val="30"/>
        </w:rPr>
        <w:t xml:space="preserve">ACÓRDÃO DO TRIBUNAL DA RELAÇÃO DE SANTA MARTA</w:t>
      </w:r>
    </w:p>
    <w:p>
      <w:pPr>
        <w:spacing w:after="300"/>
        <w:jc w:val="center"/>
      </w:pPr>
      <w:r>
        <w:rPr>
          <w:color w:val="586473"/>
          <w:sz w:val="20"/>
          <w:szCs w:val="20"/>
        </w:rPr>
        <w:t xml:space="preserve">Processo F-0412/22 · 14 de Março de 2022 · decisão fictícia</w:t>
      </w:r>
    </w:p>
    <w:p>
      <w:pPr>
        <w:spacing w:after="160"/>
      </w:pPr>
      <w:r>
        <w:rPr>
          <w:i/>
          <w:iCs/>
          <w:color w:val="586473"/>
          <w:sz w:val="19"/>
          <w:szCs w:val="19"/>
        </w:rPr>
        <w:t xml:space="preserve">Documento inteiramente fictício. Partes, valores, decisões e cláusulas são inventados para fins de formação.</w:t>
      </w:r>
    </w:p>
    <w:p>
      <w:pPr>
        <w:pStyle w:val="Heading2"/>
      </w:pPr>
      <w:r>
        <w:t xml:space="preserve">Sumário</w:t>
      </w:r>
    </w:p>
    <w:p>
      <w:pPr>
        <w:spacing w:after="120" w:line="276"/>
        <w:jc w:val="both"/>
      </w:pPr>
      <w:r>
        <w:t xml:space="preserve">I. A redução equitativa da cláusula penal só pode ser decretada a pedido do devedor. II. Cabe ao devedor alegar e provar os factos que demonstram o carácter manifestamente excessivo da pena.</w:t>
      </w:r>
    </w:p>
    <w:p>
      <w:pPr>
        <w:pStyle w:val="Heading2"/>
      </w:pPr>
      <w:r>
        <w:t xml:space="preserve">Factos</w:t>
      </w:r>
    </w:p>
    <w:p>
      <w:pPr>
        <w:spacing w:after="120" w:line="276"/>
        <w:jc w:val="both"/>
      </w:pPr>
      <w:r>
        <w:t xml:space="preserve">A autora, distribuidora, e a ré, fornecedora, celebraram um contrato de distribuição com uma cláusula penal de 100 000 euros para a cessação antecipada imputável à distribuidora. A ré resolveu o contrato e exigiu a pena. A autora, na contestação da reconvenção, limitou-se a afirmar que o valor era «elevado», sem alegar factos.</w:t>
      </w:r>
    </w:p>
    <w:p>
      <w:pPr>
        <w:pStyle w:val="Heading2"/>
      </w:pPr>
      <w:r>
        <w:t xml:space="preserve">Fundamentação</w:t>
      </w:r>
    </w:p>
    <w:p>
      <w:pPr>
        <w:spacing w:after="120" w:line="276"/>
        <w:jc w:val="both"/>
      </w:pPr>
      <w:r>
        <w:t xml:space="preserve">«A redução da cláusula penal não é de conhecimento oficioso: depende de pedido do devedor.» Mais se afirma que «o devedor tem o ónus de alegar e provar os factos que demonstram o excesso manifesto da pena, designadamente o dano efectivamente sofrido pelo credor». No caso, a autora não provou o dano real da ré.</w:t>
      </w:r>
    </w:p>
    <w:p>
      <w:pPr>
        <w:pStyle w:val="Heading2"/>
      </w:pPr>
      <w:r>
        <w:t xml:space="preserve">Decisão</w:t>
      </w:r>
    </w:p>
    <w:p>
      <w:pPr>
        <w:spacing w:after="120" w:line="276"/>
        <w:jc w:val="both"/>
      </w:pPr>
      <w:r>
        <w:t xml:space="preserve">Reduz-se a pena de 100 000 para 40 000 euros, por se ter provado, por documentos juntos pela própria ré, que o dano efectivo foi de 32 000 euros.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Decisão fictícia · Documento inteiramente fictício, para fins de formação  ·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14213D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2026-10-14T08:59:21.904Z</dcterms:created>
  <dcterms:modified xsi:type="dcterms:W3CDTF">2026-10-14T08:59:21.904Z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