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4213D"/>
          <w:sz w:val="30"/>
          <w:szCs w:val="30"/>
        </w:rPr>
        <w:t xml:space="preserve">ACÓRDÃO DO TRIBUNAL DA RELAÇÃO DE VILA NOVA</w:t>
      </w:r>
    </w:p>
    <w:p>
      <w:pPr>
        <w:spacing w:after="300"/>
        <w:jc w:val="center"/>
      </w:pPr>
      <w:r>
        <w:rPr>
          <w:color w:val="586473"/>
          <w:sz w:val="20"/>
          <w:szCs w:val="20"/>
        </w:rPr>
        <w:t xml:space="preserve">Processo F-0233/24 · 21 de Fevereiro de 2024 · decisão fictícia</w:t>
      </w:r>
    </w:p>
    <w:p>
      <w:pPr>
        <w:spacing w:after="160"/>
      </w:pPr>
      <w:r>
        <w:rPr>
          <w:i/>
          <w:iCs/>
          <w:color w:val="586473"/>
          <w:sz w:val="19"/>
          <w:szCs w:val="19"/>
        </w:rPr>
        <w:t xml:space="preserve">Documento inteiramente fictício. Partes, valores, decisões e cláusulas são inventados para fins de formação.</w:t>
      </w:r>
    </w:p>
    <w:p>
      <w:pPr>
        <w:pStyle w:val="Heading2"/>
      </w:pPr>
      <w:r>
        <w:t xml:space="preserve">Sumário</w:t>
      </w:r>
    </w:p>
    <w:p>
      <w:pPr>
        <w:spacing w:after="120" w:line="276"/>
        <w:jc w:val="both"/>
      </w:pPr>
      <w:r>
        <w:t xml:space="preserve">O tribunal pode reduzir a cláusula penal de conhecimento oficioso quando, dos factos provados, resulte o seu carácter manifestamente excessivo.</w:t>
      </w:r>
    </w:p>
    <w:p>
      <w:pPr>
        <w:pStyle w:val="Heading2"/>
      </w:pPr>
      <w:r>
        <w:t xml:space="preserve">Factos</w:t>
      </w:r>
    </w:p>
    <w:p>
      <w:pPr>
        <w:spacing w:after="120" w:line="276"/>
        <w:jc w:val="both"/>
      </w:pPr>
      <w:r>
        <w:t xml:space="preserve">Num contrato de exclusividade comercial, a pena foi fixada em 150 000 euros. A devedora invocou o incumprimento do credor mas não pediu expressamente a redução da pena. Provou-se que o dano do credor foi de 20 000 euros.</w:t>
      </w:r>
    </w:p>
    <w:p>
      <w:pPr>
        <w:pStyle w:val="Heading2"/>
      </w:pPr>
      <w:r>
        <w:t xml:space="preserve">Fundamentação</w:t>
      </w:r>
    </w:p>
    <w:p>
      <w:pPr>
        <w:spacing w:after="120" w:line="276"/>
        <w:jc w:val="both"/>
      </w:pPr>
      <w:r>
        <w:t xml:space="preserve">«A protecção do devedor perante penas desproporcionadas é de interesse geral, pelo que o tribunal deve reduzir oficiosamente a pena sempre que os factos provados revelem o seu excesso manifesto.» Considera o tribunal que exigir pedido formal «seria um formalismo incompatível com a finalidade da lei».</w:t>
      </w:r>
    </w:p>
    <w:p>
      <w:pPr>
        <w:pStyle w:val="Heading2"/>
      </w:pPr>
      <w:r>
        <w:t xml:space="preserve">Decisão</w:t>
      </w:r>
    </w:p>
    <w:p>
      <w:pPr>
        <w:spacing w:after="120" w:line="276"/>
        <w:jc w:val="both"/>
      </w:pPr>
      <w:r>
        <w:t xml:space="preserve">Reduz-se a pena de 150 000 para 40 000 euros.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Decisão fictícia · Documento inteiramente fictício, para fins de formação  · 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1421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color w:val="14213D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2026-10-14T08:59:21.916Z</dcterms:created>
  <dcterms:modified xsi:type="dcterms:W3CDTF">2026-10-14T08:59:21.916Z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