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QUADRO DE PRAZOS — CPTF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Código de Procedimento Tributário Fictício · versão da firma · Outubro de 2026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Regime inteiramente inventado para a formação. Não reproduz nenhuma lei real. Os artigos, prazos e regras de contagem só valem neste exercício.</w:t>
      </w:r>
    </w:p>
    <w:p>
      <w:pPr>
        <w:spacing w:after="120" w:line="276"/>
        <w:jc w:val="both"/>
      </w:pPr>
      <w:r>
        <w:rPr>
          <w:b/>
          <w:bCs/>
        </w:rPr>
        <w:t xml:space="preserve">Artigo 5.º  </w:t>
      </w:r>
      <w:r>
        <w:t xml:space="preserve">Reclamação graciosa. O prazo para reclamar da liquidação é de 30 dias seguidos, a contar da notificação da liquidação.</w:t>
      </w:r>
    </w:p>
    <w:p>
      <w:pPr>
        <w:spacing w:after="120" w:line="276"/>
        <w:jc w:val="both"/>
      </w:pPr>
      <w:r>
        <w:rPr>
          <w:b/>
          <w:bCs/>
        </w:rPr>
        <w:t xml:space="preserve">Artigo 6.º  </w:t>
      </w:r>
      <w:r>
        <w:t xml:space="preserve">Audição prévia. O contribuinte notificado para audição prévia pode pronunciar-se no prazo de 15 dias seguidos, a contar da notificação.</w:t>
      </w:r>
    </w:p>
    <w:p>
      <w:pPr>
        <w:spacing w:after="120" w:line="276"/>
        <w:jc w:val="both"/>
      </w:pPr>
      <w:r>
        <w:rPr>
          <w:b/>
          <w:bCs/>
        </w:rPr>
        <w:t xml:space="preserve">Artigo 7.º  </w:t>
      </w:r>
      <w:r>
        <w:t xml:space="preserve">Impugnação judicial. 1 — O prazo para impugnar a liquidação é de 90 dias seguidos, a contar da notificação da liquidação, quando não tenha havido reclamação. 2 — Tendo havido reclamação, o prazo é de 60 dias seguidos, a contar da notificação da decisão da reclamação. 3 — Os dias de 1 a 20 de Agosto (férias fiscais) não se contam nos prazos deste artigo.</w:t>
      </w:r>
    </w:p>
    <w:p>
      <w:pPr>
        <w:spacing w:after="120" w:line="276"/>
        <w:jc w:val="both"/>
      </w:pPr>
      <w:r>
        <w:rPr>
          <w:b/>
          <w:bCs/>
        </w:rPr>
        <w:t xml:space="preserve">Artigo 8.º  </w:t>
      </w:r>
      <w:r>
        <w:t xml:space="preserve">Notificação. 1 — A notificação por carta registada presume-se feita no terceiro dia posterior ao do registo, ou no primeiro dia útil seguinte, quando aquele não seja útil. 2 — A notificação por via electrónica presume-se feita no dia da disponibilização na caixa electrónica, ou no primeiro dia útil seguinte, quando aquele não seja útil. A data de leitura é irrelevante.</w:t>
      </w:r>
    </w:p>
    <w:p>
      <w:pPr>
        <w:spacing w:after="120" w:line="276"/>
        <w:jc w:val="both"/>
      </w:pPr>
      <w:r>
        <w:rPr>
          <w:b/>
          <w:bCs/>
        </w:rPr>
        <w:t xml:space="preserve">Artigo 9.º  </w:t>
      </w:r>
      <w:r>
        <w:t xml:space="preserve">Contagem. 1 — Não se conta o dia da notificação. 2 — Os prazos são contados em dias seguidos. 3 — O prazo que termine em sábado, domingo ou feriado transfere-se para o primeiro dia útil seguinte. 4 — São feriados os constantes do calendário de feriados anexo.</w:t>
      </w:r>
    </w:p>
    <w:p>
      <w:pPr>
        <w:spacing w:after="120" w:line="276"/>
        <w:jc w:val="both"/>
      </w:pPr>
      <w:r>
        <w:rPr>
          <w:b/>
          <w:bCs/>
        </w:rPr>
        <w:t xml:space="preserve">Artigo 10.º  </w:t>
      </w:r>
      <w:r>
        <w:t xml:space="preserve">Âmbito. Este quadro regula apenas os prazos dos artigos 5 a 7. Para qualquer outro prazo deve consultar-se a norma aplicável, que não consta deste quadro.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Quadro de prazos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2026-10-18T16:02:29.184Z</dcterms:created>
  <dcterms:modified xsi:type="dcterms:W3CDTF">2026-10-18T16:02:29.184Z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