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Policy 2026</w:t>
      </w:r>
    </w:p>
    <w:p>
      <w:pPr>
        <w:pStyle w:val="Heading1"/>
      </w:pPr>
      <w:r>
        <w:t>4. Working hours</w:t>
      </w:r>
    </w:p>
    <w:p>
      <w:r>
        <w:t>Employees shall not work more than 48 hours in any seven-day period.</w:t>
      </w:r>
    </w:p>
    <w:p>
      <w:pPr>
        <w:pStyle w:val="Heading1"/>
      </w:pPr>
      <w:r>
        <w:t>5. Annual leave</w:t>
      </w:r>
    </w:p>
    <w:p>
      <w:r>
        <w:t>Employees are entitled to a minimum of 30 days of annual leave per year.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Leave days</w:t>
            </w:r>
          </w:p>
        </w:tc>
        <w:tc>
          <w:tcPr>
            <w:tcW w:type="dxa" w:w="2880"/>
          </w:tcPr>
          <w:p>
            <w:r>
              <w:t>Notice period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90 days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60 days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Policy 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