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DOP"/>
      </w:pPr>
      <w:r>
        <w:t>Date of publication xxxx 00, 0000, date of current version xxxx 00, 0000.</w:t>
      </w:r>
    </w:p>
    <w:p>
      <w:pPr>
        <w:pStyle w:val="DOI"/>
      </w:pPr>
      <w:r>
        <w:t>Digital Object Identifier 10.1109/ACCESS.2026.Doi Number</w:t>
      </w:r>
    </w:p>
    <w:p>
      <w:pPr>
        <w:pStyle w:val="PaperTitle"/>
      </w:pPr>
      <w:r>
        <w:t>QI-FedDetect: Quantum-Inspired Federated Intrusion Detection with Byzantine Fault Tolerance in Heterogeneous IoT Networks</w:t>
      </w:r>
    </w:p>
    <w:p>
      <w:pPr>
        <w:pStyle w:val="AU"/>
      </w:pPr>
      <w:r>
        <w:rPr>
          <w:b/>
        </w:rPr>
        <w:t>Sai Krishna Thota</w:t>
      </w:r>
      <w:r>
        <w:t>, Senior Member, IEEE</w:t>
      </w:r>
    </w:p>
    <w:p>
      <w:pPr>
        <w:pStyle w:val="PINoSpace"/>
      </w:pPr>
      <w:r>
        <w:t>Independent Researcher, USA</w:t>
      </w:r>
    </w:p>
    <w:p>
      <w:pPr>
        <w:pStyle w:val="PI"/>
      </w:pPr>
      <w:r>
        <w:t>Corresponding author: Sai Krishna Thota (e-mail: drsaikrishnathota@ieee.org). ORCID: 0009-0008-5246-9421.</w:t>
      </w:r>
    </w:p>
    <w:p>
      <w:pPr>
        <w:pStyle w:val="Abstract"/>
      </w:pPr>
      <w:r>
        <w:rPr>
          <w:b/>
        </w:rPr>
        <w:t xml:space="preserve">ABSTRACT </w:t>
      </w:r>
      <w:r>
        <w:t>The proliferation of Internet of Things (IoT) devices has created vast heterogeneous network environments increasingly targeted by sophisticated cyber attacks. Traditional intrusion detection systems (IDS) rely on centralized data collection, raising critical privacy and scalability concerns. Federated learning (FL) offers a compelling distributed training paradigm; however, Byzantine participants — clients that submit corrupted model updates — can silently degrade global model quality without detection. This paper presents QI-FedDetect, a quantum-inspired federated intrusion detection framework integrating variational quantum circuit (VQC)-based feature encoding with a Quantum Jensen-Shannon Divergence (QJSD) Byzantine Detection Module (BDM). We evaluate QI-FedDetect on NSL-KDD and CICIDS2017 against five baselines: FedAvg, FedProx, Krum, Trimmed Mean, and FLTrust-style. On NSL-KDD, QI-FedDetect achieves 76.14% accuracy and 73.90% macro F1-score with a Byzantine detection rate of 60.83% versus 0% for all non-detecting baselines. On CICIDS2017, QI-FedDetect attains 99.97% accuracy and 100% Byzantine detection. Ablation studies confirm independent contributions of both VQC encoding and BDM: removing VQC reduces detection rate by 18.33 percentage points, while removing BDM eliminates Byzantine detection entirely. Robustness experiments across Byzantine fractions beta in {0.1, 0.2, 0.3} and non-IID levels alpha in {0.1, 0.5, 1.0} demonstrate consistent superiority. Statistical significance (Wilcoxon signed-rank, p &lt; 0.05) is confirmed for all primary comparisons. A formal Byzantine Detection Theorem provides theoretical guarantees under bounded adversarial conditions.</w:t>
      </w:r>
    </w:p>
    <w:p>
      <w:pPr>
        <w:pStyle w:val="IT"/>
      </w:pPr>
      <w:r>
        <w:rPr>
          <w:b/>
        </w:rPr>
        <w:t xml:space="preserve">INDEX TERMS </w:t>
      </w:r>
      <w:r>
        <w:t>Anomaly detection, Byzantine fault tolerance, CICIDS2017, federated learning, intrusion detection systems, IoT security, NSL-KDD, privacy-preserving machine learning, quantum-inspired computing, variational quantum circuits.</w:t>
      </w:r>
    </w:p>
    <w:p w14:paraId="72D3EC9F" w14:textId="77777777" w:rsidR="00E91452" w:rsidRDefault="00E91452" w:rsidP="00E91452">
      <w:pPr>
        <w:autoSpaceDE w:val="0"/>
        <w:autoSpaceDN w:val="0"/>
        <w:adjustRightInd w:val="0"/>
        <w:jc w:val="center"/>
        <w:rPr>
          <w:rFonts w:ascii="TimesLTStd-Roman" w:hAnsi="TimesLTStd-Roman" w:cs="TimesLTStd-Roman"/>
          <w:sz w:val="20"/>
          <w:szCs w:val="20"/>
        </w:rPr>
        <w:sectPr w:rsidR="00E91452" w:rsidSect="00CB2DB1">
          <w:type w:val="continuous"/>
          <w:pgSz w:w="11520" w:h="15660" w:code="1"/>
          <w:pgMar w:top="1300" w:right="740" w:bottom="1040" w:left="740" w:header="360" w:footer="640" w:gutter="0"/>
          <w:cols w:num="2" w:space="400"/>
          <w:docGrid w:linePitch="360"/>
        </w:sectPr>
      </w:pPr>
    </w:p>
    <w:p>
      <w:pPr>
        <w:pStyle w:val="H1ListNoSpace"/>
      </w:pPr>
      <w:r>
        <w:t>I. Introduction</w:t>
      </w:r>
    </w:p>
    <w:p>
      <w:pPr>
        <w:pStyle w:val="PARA"/>
      </w:pPr>
      <w:r>
        <w:t>The rapid expansion of Internet of Things (IoT) ecosystems has fundamentally transformed network security. By 2025, an estimated 75 billion IoT devices are operational globally [1], each a potential attack vector. Traditional intrusion detection systems, built for centralized architectures, face critical limitations in federated IoT deployments: data cannot be pooled across organizational or device boundaries due to regulatory requirements, bandwidth constraints, and heterogeneous trust relationships [2]. Federated learning (FL) has emerged as a compelling paradigm for distributed collaborative training without raw data sharing [3]. However, FL introduces its own security vulnerabilities: Byzantine participants — clients under adversarial control — can submit corrupted gradient updates that silently degrade global model accuracy [4], [5]. This threat is particularly acute in IoT environments where physical device compromise is plausible [6].</w:t>
      </w:r>
    </w:p>
    <w:p>
      <w:pPr>
        <w:pStyle w:val="PARA"/>
      </w:pPr>
      <w:r>
        <w:t>Quantum-inspired computing offers a promising avenue for enhanced feature representation in machine learning [13], [14]. Variational quantum circuits (VQCs) — parameterized quantum circuits trainable via classical optimization — provide feature encodings with theoretical representational advantages over classical networks of comparable depth [18], [19]. While fault-tolerant quantum hardware remains nascent, classically simulated implementations are deployable today. Their application to federated intrusion detection for Byzantine-resilient gradient analysis has not been explored in prior literature.</w:t>
      </w:r>
    </w:p>
    <w:p>
      <w:pPr>
        <w:pStyle w:val="PARA"/>
      </w:pPr>
      <w:r>
        <w:t>This paper presents QI-FedDetect, addressing three concurrent challenges: privacy-preserving distributed learning across heterogeneous IoT clients; robust Byzantine fault tolerance with explicit adversarial client detection; and competitive intrusion classification on real-world benchmarks. The principal contributions are:</w:t>
      </w:r>
    </w:p>
    <w:p>
      <w:pPr>
        <w:pStyle w:val="PARAIndent"/>
      </w:pPr>
      <w:r>
        <w:t>1)  QI-FedDetect: A novel framework integrating VQC-based feature encoding with federated aggregation and Byzantine-resilient gradient analysis for heterogeneous IoT intrusion detection.</w:t>
      </w:r>
    </w:p>
    <w:p>
      <w:pPr>
        <w:pStyle w:val="PARAIndent"/>
      </w:pPr>
      <w:r>
        <w:t>2)  Byzantine Detection Theorem: A formal theorem with proof providing detection guarantees under bounded adversarial conditions using direction-aware Quantum Jensen-Shannon Divergence (QJSD).</w:t>
      </w:r>
    </w:p>
    <w:p>
      <w:pPr>
        <w:pStyle w:val="PARAIndent"/>
      </w:pPr>
      <w:r>
        <w:t>3)  Comprehensive empirical evaluation: Experiments on NSL-KDD and CICIDS2017 against five baselines under three Byzantine fractions and three non-IID levels, with statistical significance testing.</w:t>
      </w:r>
    </w:p>
    <w:p>
      <w:pPr>
        <w:pStyle w:val="PARAIndent"/>
      </w:pPr>
      <w:r>
        <w:t>4)  Ablation study: Component-level analysis isolating the contributions of VQC encoder and BDM.</w:t>
      </w:r>
    </w:p>
    <w:p>
      <w:pPr>
        <w:pStyle w:val="PARAIndent"/>
      </w:pPr>
      <w:r>
        <w:t>5)  Open-source implementation: https://github.com/drsaikrishnathota1/QI-FedDetect.</w:t>
      </w:r>
    </w:p>
    <w:p>
      <w:pPr>
        <w:pStyle w:val="H1ListSpace"/>
      </w:pPr>
      <w:r>
        <w:t>II. Related Work</w:t>
      </w:r>
    </w:p>
    <w:p>
      <w:pPr>
        <w:pStyle w:val="H2First"/>
      </w:pPr>
      <w:r>
        <w:t>A. Federated Learning for Intrusion Detection</w:t>
      </w:r>
    </w:p>
    <w:p>
      <w:pPr>
        <w:pStyle w:val="PARA"/>
      </w:pPr>
      <w:r>
        <w:t>McMahan et al. [8] introduced FedAvg, establishing the foundational federated averaging algorithm. Li et al. [9] proposed FedProx with proximal regularization for heterogeneous settings. Mothukuri et al. [11] surveyed security and privacy challenges in FL. Vinayakumar et al. [37] applied deep learning to NSL-KDD under centralized assumptions. Ferrag et al. [39] benchmarked deep learning IDS approaches finding substantial performance variation. None address Byzantine detection in federated IDS.</w:t>
      </w:r>
    </w:p>
    <w:p>
      <w:pPr>
        <w:pStyle w:val="H2Cont"/>
      </w:pPr>
      <w:r>
        <w:t>B. Byzantine-Robust Federated Learning</w:t>
      </w:r>
    </w:p>
    <w:p>
      <w:pPr>
        <w:pStyle w:val="PARA"/>
      </w:pPr>
      <w:r>
        <w:t>Blanchard et al. [22] introduced Krum, selecting the update geometrically closest to its n-f neighbors. Yin et al. [12] proposed Trimmed Mean, removing extreme gradient values. Cao et al. [10] proposed FLTrust-style, using a clean root dataset at the server to score updates by cosine similarity. Fang et al. [26] showed local model poisoning attacks can circumvent Byzantine-robust aggregation. Our approach uses QJSD on quantum-amplitude gradient representations, enabling detection without server-side ground truth data.</w:t>
      </w:r>
    </w:p>
    <w:p>
      <w:pPr>
        <w:pStyle w:val="H2Cont"/>
      </w:pPr>
      <w:r>
        <w:t>C. Quantum Machine Learning</w:t>
      </w:r>
    </w:p>
    <w:p>
      <w:pPr>
        <w:pStyle w:val="PARA"/>
      </w:pPr>
      <w:r>
        <w:t>Biamonte et al. [14] surveyed quantum machine learning. Farhi and Neven [19] established the theoretical basis for VQC-based encoding. Beer et al. [20] demonstrated training of deep quantum neural networks. Recent quantum FL works [17][41] have explored parameter sharing but have not addressed Byzantine detection. QI-FedDetect is the first framework using quantum-inspired gradient representations for Byzantine adversary identification in federated IDS.</w:t>
      </w:r>
    </w:p>
    <w:p>
      <w:pPr>
        <w:pStyle w:val="H2Cont"/>
      </w:pPr>
      <w:r>
        <w:t>D. Comparison with Prior Art</w:t>
      </w:r>
    </w:p>
    <w:p>
      <w:pPr>
        <w:pStyle w:val="PARA"/>
      </w:pPr>
      <w:r>
        <w:t>Table I positions QI-FedDetect against related methods across six criteria relevant to federated IoT intrusion detection.</w:t>
      </w:r>
    </w:p>
    <w:p>
      <w:pPr>
        <w:pStyle w:val="TableTitle"/>
      </w:pPr>
      <w:r>
        <w:t>TABLE I</w:t>
        <w:br/>
        <w:t>Comparison of QI-FedDetect with Related Approaches</w:t>
      </w:r>
    </w:p>
    <w:tbl>
      <w:tblPr>
        <w:tblW w:type="auto" w:w="0"/>
        <w:tblLook w:firstColumn="1" w:firstRow="1" w:lastColumn="0" w:lastRow="0" w:noHBand="0" w:noVBand="1" w:val="04A0"/>
      </w:tblPr>
      <w:tblGrid>
        <w:gridCol w:w="1434"/>
        <w:gridCol w:w="1434"/>
        <w:gridCol w:w="1434"/>
        <w:gridCol w:w="1434"/>
        <w:gridCol w:w="1434"/>
        <w:gridCol w:w="1434"/>
        <w:gridCol w:w="1434"/>
      </w:tblGrid>
      <w:tr>
        <w:tc>
          <w:tcPr>
            <w:shd w:val="clear" w:color="auto" w:fill="D9E1F2"/>
            <w:tcW w:type="dxa" w:w="1434"/>
            <w:tcBorders>
              <w:top w:val="single" w:sz="4" w:color="AAAAAA"/>
              <w:bottom w:val="single" w:sz="4" w:color="AAAAAA"/>
              <w:left w:val="single" w:sz="4" w:color="AAAAAA"/>
              <w:right w:val="single" w:sz="4" w:color="AAAAAA"/>
            </w:tcBorders>
          </w:tcPr>
          <w:p>
            <w:pPr>
              <w:jc w:val="center"/>
            </w:pPr>
            <w:r/>
            <w:r>
              <w:rPr>
                <w:b/>
                <w:sz w:val="15"/>
              </w:rPr>
              <w:t>Method</w:t>
            </w:r>
          </w:p>
        </w:tc>
        <w:tc>
          <w:tcPr>
            <w:shd w:val="clear" w:color="auto" w:fill="D9E1F2"/>
            <w:tcW w:type="dxa" w:w="1434"/>
            <w:tcBorders>
              <w:top w:val="single" w:sz="4" w:color="AAAAAA"/>
              <w:bottom w:val="single" w:sz="4" w:color="AAAAAA"/>
              <w:left w:val="single" w:sz="4" w:color="AAAAAA"/>
              <w:right w:val="single" w:sz="4" w:color="AAAAAA"/>
            </w:tcBorders>
          </w:tcPr>
          <w:p>
            <w:pPr>
              <w:jc w:val="center"/>
            </w:pPr>
            <w:r/>
            <w:r>
              <w:rPr>
                <w:b/>
                <w:sz w:val="15"/>
              </w:rPr>
              <w:t>FL</w:t>
            </w:r>
          </w:p>
        </w:tc>
        <w:tc>
          <w:tcPr>
            <w:shd w:val="clear" w:color="auto" w:fill="D9E1F2"/>
            <w:tcW w:type="dxa" w:w="1434"/>
            <w:tcBorders>
              <w:top w:val="single" w:sz="4" w:color="AAAAAA"/>
              <w:bottom w:val="single" w:sz="4" w:color="AAAAAA"/>
              <w:left w:val="single" w:sz="4" w:color="AAAAAA"/>
              <w:right w:val="single" w:sz="4" w:color="AAAAAA"/>
            </w:tcBorders>
          </w:tcPr>
          <w:p>
            <w:pPr>
              <w:jc w:val="center"/>
            </w:pPr>
            <w:r/>
            <w:r>
              <w:rPr>
                <w:b/>
                <w:sz w:val="15"/>
              </w:rPr>
              <w:t>Byz. Det.</w:t>
            </w:r>
          </w:p>
        </w:tc>
        <w:tc>
          <w:tcPr>
            <w:shd w:val="clear" w:color="auto" w:fill="D9E1F2"/>
            <w:tcW w:type="dxa" w:w="1434"/>
            <w:tcBorders>
              <w:top w:val="single" w:sz="4" w:color="AAAAAA"/>
              <w:bottom w:val="single" w:sz="4" w:color="AAAAAA"/>
              <w:left w:val="single" w:sz="4" w:color="AAAAAA"/>
              <w:right w:val="single" w:sz="4" w:color="AAAAAA"/>
            </w:tcBorders>
          </w:tcPr>
          <w:p>
            <w:pPr>
              <w:jc w:val="center"/>
            </w:pPr>
            <w:r/>
            <w:r>
              <w:rPr>
                <w:b/>
                <w:sz w:val="15"/>
              </w:rPr>
              <w:t>Quantum</w:t>
            </w:r>
          </w:p>
        </w:tc>
        <w:tc>
          <w:tcPr>
            <w:shd w:val="clear" w:color="auto" w:fill="D9E1F2"/>
            <w:tcW w:type="dxa" w:w="1434"/>
            <w:tcBorders>
              <w:top w:val="single" w:sz="4" w:color="AAAAAA"/>
              <w:bottom w:val="single" w:sz="4" w:color="AAAAAA"/>
              <w:left w:val="single" w:sz="4" w:color="AAAAAA"/>
              <w:right w:val="single" w:sz="4" w:color="AAAAAA"/>
            </w:tcBorders>
          </w:tcPr>
          <w:p>
            <w:pPr>
              <w:jc w:val="center"/>
            </w:pPr>
            <w:r/>
            <w:r>
              <w:rPr>
                <w:b/>
                <w:sz w:val="15"/>
              </w:rPr>
              <w:t>Non-IID</w:t>
            </w:r>
          </w:p>
        </w:tc>
        <w:tc>
          <w:tcPr>
            <w:shd w:val="clear" w:color="auto" w:fill="D9E1F2"/>
            <w:tcW w:type="dxa" w:w="1434"/>
            <w:tcBorders>
              <w:top w:val="single" w:sz="4" w:color="AAAAAA"/>
              <w:bottom w:val="single" w:sz="4" w:color="AAAAAA"/>
              <w:left w:val="single" w:sz="4" w:color="AAAAAA"/>
              <w:right w:val="single" w:sz="4" w:color="AAAAAA"/>
            </w:tcBorders>
          </w:tcPr>
          <w:p>
            <w:pPr>
              <w:jc w:val="center"/>
            </w:pPr>
            <w:r/>
            <w:r>
              <w:rPr>
                <w:b/>
                <w:sz w:val="15"/>
              </w:rPr>
              <w:t>Proof</w:t>
            </w:r>
          </w:p>
        </w:tc>
        <w:tc>
          <w:tcPr>
            <w:shd w:val="clear" w:color="auto" w:fill="D9E1F2"/>
            <w:tcW w:type="dxa" w:w="1434"/>
            <w:tcBorders>
              <w:top w:val="single" w:sz="4" w:color="AAAAAA"/>
              <w:bottom w:val="single" w:sz="4" w:color="AAAAAA"/>
              <w:left w:val="single" w:sz="4" w:color="AAAAAA"/>
              <w:right w:val="single" w:sz="4" w:color="AAAAAA"/>
            </w:tcBorders>
          </w:tcPr>
          <w:p>
            <w:pPr>
              <w:jc w:val="center"/>
            </w:pPr>
            <w:r/>
            <w:r>
              <w:rPr>
                <w:b/>
                <w:sz w:val="15"/>
              </w:rPr>
              <w:t>IoT IDS</w:t>
            </w:r>
          </w:p>
        </w:tc>
      </w:tr>
      <w:tr>
        <w:tc>
          <w:tcPr>
            <w:shd w:val="clear" w:color="auto" w:fill="EBF3FB"/>
            <w:tcW w:type="dxa" w:w="1434"/>
            <w:tcBorders>
              <w:top w:val="single" w:sz="4" w:color="CCCCCC"/>
              <w:bottom w:val="single" w:sz="4" w:color="CCCCCC"/>
              <w:left w:val="single" w:sz="4" w:color="CCCCCC"/>
              <w:right w:val="single" w:sz="4" w:color="CCCCCC"/>
            </w:tcBorders>
          </w:tcPr>
          <w:p>
            <w:pPr>
              <w:jc w:val="left"/>
            </w:pPr>
            <w:r/>
            <w:r>
              <w:rPr>
                <w:b/>
                <w:sz w:val="15"/>
              </w:rPr>
              <w:t>QI-FedDetect (Proposed)</w:t>
            </w:r>
          </w:p>
        </w:tc>
        <w:tc>
          <w:tcPr>
            <w:shd w:val="clear" w:color="auto" w:fill="EBF3FB"/>
            <w:tcW w:type="dxa" w:w="1434"/>
            <w:tcBorders>
              <w:top w:val="single" w:sz="4" w:color="CCCCCC"/>
              <w:bottom w:val="single" w:sz="4" w:color="CCCCCC"/>
              <w:left w:val="single" w:sz="4" w:color="CCCCCC"/>
              <w:right w:val="single" w:sz="4" w:color="CCCCCC"/>
            </w:tcBorders>
          </w:tcPr>
          <w:p>
            <w:pPr>
              <w:jc w:val="center"/>
            </w:pPr>
            <w:r/>
            <w:r>
              <w:rPr>
                <w:b/>
                <w:sz w:val="15"/>
              </w:rPr>
              <w:t>Yes</w:t>
            </w:r>
          </w:p>
        </w:tc>
        <w:tc>
          <w:tcPr>
            <w:shd w:val="clear" w:color="auto" w:fill="EBF3FB"/>
            <w:tcW w:type="dxa" w:w="1434"/>
            <w:tcBorders>
              <w:top w:val="single" w:sz="4" w:color="CCCCCC"/>
              <w:bottom w:val="single" w:sz="4" w:color="CCCCCC"/>
              <w:left w:val="single" w:sz="4" w:color="CCCCCC"/>
              <w:right w:val="single" w:sz="4" w:color="CCCCCC"/>
            </w:tcBorders>
          </w:tcPr>
          <w:p>
            <w:pPr>
              <w:jc w:val="center"/>
            </w:pPr>
            <w:r/>
            <w:r>
              <w:rPr>
                <w:b/>
                <w:sz w:val="15"/>
              </w:rPr>
              <w:t>Yes</w:t>
            </w:r>
          </w:p>
        </w:tc>
        <w:tc>
          <w:tcPr>
            <w:shd w:val="clear" w:color="auto" w:fill="EBF3FB"/>
            <w:tcW w:type="dxa" w:w="1434"/>
            <w:tcBorders>
              <w:top w:val="single" w:sz="4" w:color="CCCCCC"/>
              <w:bottom w:val="single" w:sz="4" w:color="CCCCCC"/>
              <w:left w:val="single" w:sz="4" w:color="CCCCCC"/>
              <w:right w:val="single" w:sz="4" w:color="CCCCCC"/>
            </w:tcBorders>
          </w:tcPr>
          <w:p>
            <w:pPr>
              <w:jc w:val="center"/>
            </w:pPr>
            <w:r/>
            <w:r>
              <w:rPr>
                <w:b/>
                <w:sz w:val="15"/>
              </w:rPr>
              <w:t>Yes</w:t>
            </w:r>
          </w:p>
        </w:tc>
        <w:tc>
          <w:tcPr>
            <w:shd w:val="clear" w:color="auto" w:fill="EBF3FB"/>
            <w:tcW w:type="dxa" w:w="1434"/>
            <w:tcBorders>
              <w:top w:val="single" w:sz="4" w:color="CCCCCC"/>
              <w:bottom w:val="single" w:sz="4" w:color="CCCCCC"/>
              <w:left w:val="single" w:sz="4" w:color="CCCCCC"/>
              <w:right w:val="single" w:sz="4" w:color="CCCCCC"/>
            </w:tcBorders>
          </w:tcPr>
          <w:p>
            <w:pPr>
              <w:jc w:val="center"/>
            </w:pPr>
            <w:r/>
            <w:r>
              <w:rPr>
                <w:b/>
                <w:sz w:val="15"/>
              </w:rPr>
              <w:t>Yes</w:t>
            </w:r>
          </w:p>
        </w:tc>
        <w:tc>
          <w:tcPr>
            <w:shd w:val="clear" w:color="auto" w:fill="EBF3FB"/>
            <w:tcW w:type="dxa" w:w="1434"/>
            <w:tcBorders>
              <w:top w:val="single" w:sz="4" w:color="CCCCCC"/>
              <w:bottom w:val="single" w:sz="4" w:color="CCCCCC"/>
              <w:left w:val="single" w:sz="4" w:color="CCCCCC"/>
              <w:right w:val="single" w:sz="4" w:color="CCCCCC"/>
            </w:tcBorders>
          </w:tcPr>
          <w:p>
            <w:pPr>
              <w:jc w:val="center"/>
            </w:pPr>
            <w:r/>
            <w:r>
              <w:rPr>
                <w:b/>
                <w:sz w:val="15"/>
              </w:rPr>
              <w:t>Yes</w:t>
            </w:r>
          </w:p>
        </w:tc>
        <w:tc>
          <w:tcPr>
            <w:shd w:val="clear" w:color="auto" w:fill="EBF3FB"/>
            <w:tcW w:type="dxa" w:w="1434"/>
            <w:tcBorders>
              <w:top w:val="single" w:sz="4" w:color="CCCCCC"/>
              <w:bottom w:val="single" w:sz="4" w:color="CCCCCC"/>
              <w:left w:val="single" w:sz="4" w:color="CCCCCC"/>
              <w:right w:val="single" w:sz="4" w:color="CCCCCC"/>
            </w:tcBorders>
          </w:tcPr>
          <w:p>
            <w:pPr>
              <w:jc w:val="center"/>
            </w:pPr>
            <w:r/>
            <w:r>
              <w:rPr>
                <w:b/>
                <w:sz w:val="15"/>
              </w:rPr>
              <w:t>Yes</w:t>
            </w:r>
          </w:p>
        </w:tc>
      </w:tr>
      <w:tr>
        <w:tc>
          <w:tcPr>
            <w:shd w:val="clear" w:color="auto" w:fill="FFFFFF"/>
            <w:tcW w:type="dxa" w:w="1434"/>
            <w:tcBorders>
              <w:top w:val="single" w:sz="4" w:color="CCCCCC"/>
              <w:bottom w:val="single" w:sz="4" w:color="CCCCCC"/>
              <w:left w:val="single" w:sz="4" w:color="CCCCCC"/>
              <w:right w:val="single" w:sz="4" w:color="CCCCCC"/>
            </w:tcBorders>
          </w:tcPr>
          <w:p>
            <w:pPr>
              <w:jc w:val="left"/>
            </w:pPr>
            <w:r/>
            <w:r>
              <w:rPr>
                <w:sz w:val="15"/>
              </w:rPr>
              <w:t>FedAvg [8]</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Partial</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r>
      <w:tr>
        <w:tc>
          <w:tcPr>
            <w:shd w:val="clear" w:color="auto" w:fill="FFFFFF"/>
            <w:tcW w:type="dxa" w:w="1434"/>
            <w:tcBorders>
              <w:top w:val="single" w:sz="4" w:color="CCCCCC"/>
              <w:bottom w:val="single" w:sz="4" w:color="CCCCCC"/>
              <w:left w:val="single" w:sz="4" w:color="CCCCCC"/>
              <w:right w:val="single" w:sz="4" w:color="CCCCCC"/>
            </w:tcBorders>
          </w:tcPr>
          <w:p>
            <w:pPr>
              <w:jc w:val="left"/>
            </w:pPr>
            <w:r/>
            <w:r>
              <w:rPr>
                <w:sz w:val="15"/>
              </w:rPr>
              <w:t>FedProx [9]</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r>
      <w:tr>
        <w:tc>
          <w:tcPr>
            <w:shd w:val="clear" w:color="auto" w:fill="FFFFFF"/>
            <w:tcW w:type="dxa" w:w="1434"/>
            <w:tcBorders>
              <w:top w:val="single" w:sz="4" w:color="CCCCCC"/>
              <w:bottom w:val="single" w:sz="4" w:color="CCCCCC"/>
              <w:left w:val="single" w:sz="4" w:color="CCCCCC"/>
              <w:right w:val="single" w:sz="4" w:color="CCCCCC"/>
            </w:tcBorders>
          </w:tcPr>
          <w:p>
            <w:pPr>
              <w:jc w:val="left"/>
            </w:pPr>
            <w:r/>
            <w:r>
              <w:rPr>
                <w:sz w:val="15"/>
              </w:rPr>
              <w:t>Krum [22]</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Partial</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r>
      <w:tr>
        <w:tc>
          <w:tcPr>
            <w:shd w:val="clear" w:color="auto" w:fill="FFFFFF"/>
            <w:tcW w:type="dxa" w:w="1434"/>
            <w:tcBorders>
              <w:top w:val="single" w:sz="4" w:color="CCCCCC"/>
              <w:bottom w:val="single" w:sz="4" w:color="CCCCCC"/>
              <w:left w:val="single" w:sz="4" w:color="CCCCCC"/>
              <w:right w:val="single" w:sz="4" w:color="CCCCCC"/>
            </w:tcBorders>
          </w:tcPr>
          <w:p>
            <w:pPr>
              <w:jc w:val="left"/>
            </w:pPr>
            <w:r/>
            <w:r>
              <w:rPr>
                <w:sz w:val="15"/>
              </w:rPr>
              <w:t>Trimmed Mean [12]</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Partial</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r>
      <w:tr>
        <w:tc>
          <w:tcPr>
            <w:shd w:val="clear" w:color="auto" w:fill="FFFFFF"/>
            <w:tcW w:type="dxa" w:w="1434"/>
            <w:tcBorders>
              <w:top w:val="single" w:sz="4" w:color="CCCCCC"/>
              <w:bottom w:val="single" w:sz="4" w:color="CCCCCC"/>
              <w:left w:val="single" w:sz="4" w:color="CCCCCC"/>
              <w:right w:val="single" w:sz="4" w:color="CCCCCC"/>
            </w:tcBorders>
          </w:tcPr>
          <w:p>
            <w:pPr>
              <w:jc w:val="left"/>
            </w:pPr>
            <w:r/>
            <w:r>
              <w:rPr>
                <w:sz w:val="15"/>
              </w:rPr>
              <w:t>FLTrust-style [10]</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r>
      <w:tr>
        <w:tc>
          <w:tcPr>
            <w:shd w:val="clear" w:color="auto" w:fill="FFFFFF"/>
            <w:tcW w:type="dxa" w:w="1434"/>
            <w:tcBorders>
              <w:top w:val="single" w:sz="4" w:color="CCCCCC"/>
              <w:bottom w:val="single" w:sz="4" w:color="CCCCCC"/>
              <w:left w:val="single" w:sz="4" w:color="CCCCCC"/>
              <w:right w:val="single" w:sz="4" w:color="CCCCCC"/>
            </w:tcBorders>
          </w:tcPr>
          <w:p>
            <w:pPr>
              <w:jc w:val="left"/>
            </w:pPr>
            <w:r/>
            <w:r>
              <w:rPr>
                <w:sz w:val="15"/>
              </w:rPr>
              <w:t>Vinayakumar et al. [37]</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r>
      <w:tr>
        <w:tc>
          <w:tcPr>
            <w:shd w:val="clear" w:color="auto" w:fill="FFFFFF"/>
            <w:tcW w:type="dxa" w:w="1434"/>
            <w:tcBorders>
              <w:top w:val="single" w:sz="4" w:color="CCCCCC"/>
              <w:bottom w:val="single" w:sz="4" w:color="CCCCCC"/>
              <w:left w:val="single" w:sz="4" w:color="CCCCCC"/>
              <w:right w:val="single" w:sz="4" w:color="CCCCCC"/>
            </w:tcBorders>
          </w:tcPr>
          <w:p>
            <w:pPr>
              <w:jc w:val="left"/>
            </w:pPr>
            <w:r/>
            <w:r>
              <w:rPr>
                <w:sz w:val="15"/>
              </w:rPr>
              <w:t>Ferrag et al. [39]</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No</w:t>
            </w:r>
          </w:p>
        </w:tc>
        <w:tc>
          <w:tcPr>
            <w:shd w:val="clear" w:color="auto" w:fill="FFFFFF"/>
            <w:tcW w:type="dxa" w:w="1434"/>
            <w:tcBorders>
              <w:top w:val="single" w:sz="4" w:color="CCCCCC"/>
              <w:bottom w:val="single" w:sz="4" w:color="CCCCCC"/>
              <w:left w:val="single" w:sz="4" w:color="CCCCCC"/>
              <w:right w:val="single" w:sz="4" w:color="CCCCCC"/>
            </w:tcBorders>
          </w:tcPr>
          <w:p>
            <w:pPr>
              <w:jc w:val="center"/>
            </w:pPr>
            <w:r/>
            <w:r>
              <w:rPr>
                <w:sz w:val="15"/>
              </w:rPr>
              <w:t>Yes</w:t>
            </w:r>
          </w:p>
        </w:tc>
      </w:tr>
    </w:tbl>
    <w:p>
      <w:pPr>
        <w:pStyle w:val="FigCaption"/>
      </w:pPr>
      <w:r>
        <w:t>Yes = full support; Partial = limited; No = not addressed.</w:t>
      </w:r>
    </w:p>
    <w:p>
      <w:pPr>
        <w:pStyle w:val="H1ListSpace"/>
      </w:pPr>
      <w:r>
        <w:t>III. System Model and Problem Formulation</w:t>
      </w:r>
    </w:p>
    <w:p>
      <w:pPr>
        <w:pStyle w:val="H2First"/>
      </w:pPr>
      <w:r>
        <w:t>A. Notation and Setup</w:t>
      </w:r>
    </w:p>
    <w:p>
      <w:pPr>
        <w:pStyle w:val="PARA"/>
      </w:pPr>
      <w:r>
        <w:t>Table II summarises the notation used throughout the paper.</w:t>
      </w:r>
    </w:p>
    <w:p>
      <w:pPr>
        <w:pStyle w:val="TableTitle"/>
      </w:pPr>
      <w:r>
        <w:t>TABLE II</w:t>
        <w:br/>
        <w:t>Notation Summary</w:t>
      </w:r>
    </w:p>
    <w:tbl>
      <w:tblPr>
        <w:tblW w:type="auto" w:w="0"/>
        <w:tblLook w:firstColumn="1" w:firstRow="1" w:lastColumn="0" w:lastRow="0" w:noHBand="0" w:noVBand="1" w:val="04A0"/>
      </w:tblPr>
      <w:tblGrid>
        <w:gridCol w:w="5020"/>
        <w:gridCol w:w="5020"/>
      </w:tblGrid>
      <w:tr>
        <w:tc>
          <w:tcPr>
            <w:shd w:val="clear" w:color="auto" w:fill="D9E1F2"/>
            <w:tcW w:type="dxa" w:w="5020"/>
            <w:tcBorders>
              <w:top w:val="single" w:sz="4" w:color="AAAAAA"/>
              <w:bottom w:val="single" w:sz="4" w:color="AAAAAA"/>
              <w:left w:val="single" w:sz="4" w:color="AAAAAA"/>
              <w:right w:val="single" w:sz="4" w:color="AAAAAA"/>
            </w:tcBorders>
          </w:tcPr>
          <w:p>
            <w:pPr>
              <w:jc w:val="center"/>
            </w:pPr>
            <w:r/>
            <w:r>
              <w:rPr>
                <w:b/>
                <w:sz w:val="15"/>
              </w:rPr>
              <w:t>Symbol</w:t>
            </w:r>
          </w:p>
        </w:tc>
        <w:tc>
          <w:tcPr>
            <w:shd w:val="clear" w:color="auto" w:fill="D9E1F2"/>
            <w:tcW w:type="dxa" w:w="5020"/>
            <w:tcBorders>
              <w:top w:val="single" w:sz="4" w:color="AAAAAA"/>
              <w:bottom w:val="single" w:sz="4" w:color="AAAAAA"/>
              <w:left w:val="single" w:sz="4" w:color="AAAAAA"/>
              <w:right w:val="single" w:sz="4" w:color="AAAAAA"/>
            </w:tcBorders>
          </w:tcPr>
          <w:p>
            <w:pPr>
              <w:jc w:val="center"/>
            </w:pPr>
            <w:r/>
            <w:r>
              <w:rPr>
                <w:b/>
                <w:sz w:val="15"/>
              </w:rPr>
              <w:t>Definition</w:t>
            </w:r>
          </w:p>
        </w:tc>
      </w:tr>
      <w:tr>
        <w:tc>
          <w:tcPr>
            <w:shd w:val="clear" w:color="auto" w:fill="EBF3FB"/>
            <w:tcW w:type="dxa" w:w="5020"/>
            <w:tcBorders>
              <w:top w:val="single" w:sz="4" w:color="CCCCCC"/>
              <w:bottom w:val="single" w:sz="4" w:color="CCCCCC"/>
              <w:left w:val="single" w:sz="4" w:color="CCCCCC"/>
              <w:right w:val="single" w:sz="4" w:color="CCCCCC"/>
            </w:tcBorders>
          </w:tcPr>
          <w:p>
            <w:pPr>
              <w:jc w:val="left"/>
            </w:pPr>
            <w:r/>
            <w:r>
              <w:rPr>
                <w:b/>
                <w:sz w:val="15"/>
              </w:rPr>
              <w:t>N</w:t>
            </w:r>
          </w:p>
        </w:tc>
        <w:tc>
          <w:tcPr>
            <w:shd w:val="clear" w:color="auto" w:fill="EBF3FB"/>
            <w:tcW w:type="dxa" w:w="5020"/>
            <w:tcBorders>
              <w:top w:val="single" w:sz="4" w:color="CCCCCC"/>
              <w:bottom w:val="single" w:sz="4" w:color="CCCCCC"/>
              <w:left w:val="single" w:sz="4" w:color="CCCCCC"/>
              <w:right w:val="single" w:sz="4" w:color="CCCCCC"/>
            </w:tcBorders>
          </w:tcPr>
          <w:p>
            <w:pPr>
              <w:jc w:val="center"/>
            </w:pPr>
            <w:r/>
            <w:r>
              <w:rPr>
                <w:b/>
                <w:sz w:val="15"/>
              </w:rPr>
              <w:t>Total number of federated clients</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f = |B|</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Number of Byzantine (malicious) clients</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D_i</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Local dataset of client i</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theta^t</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Global model parameters at round t</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Delta_i^t</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Model update submitted by client i at round t</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mu_G</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Mean update of honest clients</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delta</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Max deviation of honest updates: ||Delta_i - mu_G|| &lt;= delta</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kappa</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Min Byzantine deviation: ||Delta_j - mu_G|| &gt;= kappa</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rho_i</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Density matrix: Delta_i Delta_i^T / ||Delta_i||^2</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S(rho)</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Von Neumann entropy: -Tr(rho log rho)</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tau</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BDM detection threshold (z-test, alpha=0.05)</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alpha_D</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Dirichlet concentration parameter</w:t>
            </w:r>
          </w:p>
        </w:tc>
      </w:tr>
      <w:tr>
        <w:tc>
          <w:tcPr>
            <w:shd w:val="clear" w:color="auto" w:fill="FFFFFF"/>
            <w:tcW w:type="dxa" w:w="5020"/>
            <w:tcBorders>
              <w:top w:val="single" w:sz="4" w:color="CCCCCC"/>
              <w:bottom w:val="single" w:sz="4" w:color="CCCCCC"/>
              <w:left w:val="single" w:sz="4" w:color="CCCCCC"/>
              <w:right w:val="single" w:sz="4" w:color="CCCCCC"/>
            </w:tcBorders>
          </w:tcPr>
          <w:p>
            <w:pPr>
              <w:jc w:val="left"/>
            </w:pPr>
            <w:r/>
            <w:r>
              <w:rPr>
                <w:sz w:val="15"/>
              </w:rPr>
              <w:t>beta</w:t>
            </w:r>
          </w:p>
        </w:tc>
        <w:tc>
          <w:tcPr>
            <w:shd w:val="clear" w:color="auto" w:fill="FFFFFF"/>
            <w:tcW w:type="dxa" w:w="5020"/>
            <w:tcBorders>
              <w:top w:val="single" w:sz="4" w:color="CCCCCC"/>
              <w:bottom w:val="single" w:sz="4" w:color="CCCCCC"/>
              <w:left w:val="single" w:sz="4" w:color="CCCCCC"/>
              <w:right w:val="single" w:sz="4" w:color="CCCCCC"/>
            </w:tcBorders>
          </w:tcPr>
          <w:p>
            <w:pPr>
              <w:jc w:val="center"/>
            </w:pPr>
            <w:r/>
            <w:r>
              <w:rPr>
                <w:sz w:val="15"/>
              </w:rPr>
              <w:t>Byzantine fraction: f/N</w:t>
            </w:r>
          </w:p>
        </w:tc>
      </w:tr>
    </w:tbl>
    <w:p>
      <w:pPr>
        <w:pStyle w:val="H2Cont"/>
      </w:pPr>
      <w:r>
        <w:t>B. Federated Learning Objective</w:t>
      </w:r>
    </w:p>
    <w:p>
      <w:pPr>
        <w:pStyle w:val="PARA"/>
      </w:pPr>
      <w:r>
        <w:t>Each client C_i minimises local loss L(theta; D_i). The global FL objective is:</w:t>
      </w:r>
    </w:p>
    <w:p>
      <w:pPr>
        <w:pStyle w:val="Equation"/>
      </w:pPr>
      <w:r>
        <w:rPr>
          <w:i/>
        </w:rPr>
        <w:t>min_theta  Sum_{i=1}^{N} (|D_i| / |D|) * L(theta; D_i)</w:t>
      </w:r>
    </w:p>
    <w:p>
      <w:pPr>
        <w:pStyle w:val="PARA"/>
      </w:pPr>
      <w:r>
        <w:t>QI-FedDetect modifies aggregation to first filter Byzantine updates using the BDM before computing the weighted average over honest subset H.</w:t>
      </w:r>
    </w:p>
    <w:p>
      <w:pPr>
        <w:pStyle w:val="H2Cont"/>
      </w:pPr>
      <w:r>
        <w:t>C. Threat Model</w:t>
      </w:r>
    </w:p>
    <w:p>
      <w:pPr>
        <w:pStyle w:val="PARA"/>
      </w:pPr>
      <w:r>
        <w:t>We model a Byzantine adversary controlling fraction beta = f/N &lt; 0.5 of clients. Byzantine clients may execute: (1) Sign-flip attack: Delta_j^{adv} = -gamma * Delta_j, gamma = 10; (2) Label-flip attack: systematic class label corruption in local data; (3) Gradient scaling: Delta_j^{adv} = lambda * Delta_j, lambda &gt;&gt; 1. The adversary has full knowledge of the aggregation protocol but cannot observe other clients' updates.</w:t>
      </w:r>
    </w:p>
    <w:p>
      <w:pPr>
        <w:pStyle w:val="H1ListSpace"/>
      </w:pPr>
      <w:r>
        <w:t>IV. QI-FedDetect Architecture</w:t>
      </w:r>
    </w:p>
    <w:p>
      <w:pPr>
        <w:pStyle w:val="H2First"/>
      </w:pPr>
      <w:r>
        <w:t>A. Overview</w:t>
      </w:r>
    </w:p>
    <w:p>
      <w:pPr>
        <w:pStyle w:val="PARA"/>
      </w:pPr>
      <w:r>
        <w:t>QI-FedDetect comprises three modules: (1) the Quantum-Inspired Feature Encoder (QIFE), mapping raw network traffic to a quantum-amplitude representation; (2) the Federated Classifier (FC), a lightweight MLP trained collaboratively; and (3) the Byzantine Detection Module (BDM), identifying and quarantining malicious updates prior to aggregation.</w:t>
      </w:r>
    </w:p>
    <w:p>
      <w:pPr>
        <w:pStyle w:val="FigCaption"/>
      </w:pPr>
      <w:r>
        <w:t>Fig. 1. QI-FedDetect system architecture. Honest IoT clients encode local traffic via QIFE and submit gradient updates. The BDM computes pairwise QJSD, flags Byzantine outliers above threshold tau, and excludes them before federated aggregation. [Insert fig1_architecture.png]</w:t>
      </w:r>
    </w:p>
    <w:p>
      <w:pPr>
        <w:pStyle w:val="H2Cont"/>
      </w:pPr>
      <w:r>
        <w:t>B. Quantum-Inspired Feature Encoder (QIFE)</w:t>
      </w:r>
    </w:p>
    <w:p>
      <w:pPr>
        <w:pStyle w:val="PARA"/>
      </w:pPr>
      <w:r>
        <w:t>For input x in R^d, the QIFE applies a classically simulated variational quantum circuit. With q = ceil(log_2(d)) qubits and L encoding layers, the parameterised unitary is:</w:t>
      </w:r>
    </w:p>
    <w:p>
      <w:pPr>
        <w:pStyle w:val="Equation"/>
      </w:pPr>
      <w:r>
        <w:rPr>
          <w:i/>
        </w:rPr>
        <w:t>U(x; theta) = Prod_{l=1}^{L} [ U_ent * R_y(W_l x + b_l) ]</w:t>
      </w:r>
    </w:p>
    <w:p>
      <w:pPr>
        <w:pStyle w:val="PARA"/>
      </w:pPr>
      <w:r>
        <w:t>where R_y denotes parameterised Y-rotation gates applied to each qubit, U_ent is a CNOT ring entanglement layer, and {W_l in R^{q x d}, b_l in R^q} are learnable parameters. The quantum state is measured via Pauli-Z observables:</w:t>
      </w:r>
    </w:p>
    <w:p>
      <w:pPr>
        <w:pStyle w:val="Equation"/>
      </w:pPr>
      <w:r>
        <w:rPr>
          <w:i/>
        </w:rPr>
        <w:t>z = &lt;psi(x)|M|psi(x)&gt;  in  [-1, 1]^q</w:t>
      </w:r>
    </w:p>
    <w:p>
      <w:pPr>
        <w:pStyle w:val="PARA"/>
      </w:pPr>
      <w:r>
        <w:t>This encoding is implemented via statevector simulation at O(2^q) cost, tractable for q = 6 qubits. The entanglement structure creates non-linear cross-dimensional correlations, and Pauli measurements yield bounded normalised features robust to scale disparities common in network traffic data.</w:t>
      </w:r>
    </w:p>
    <w:p>
      <w:pPr>
        <w:pStyle w:val="FigCaption"/>
      </w:pPr>
      <w:r>
        <w:t>Fig. 2. VQC circuit for q=6 qubits, L=3 layers. Ry rotations followed by CNOT ring entanglement per layer; Pauli-Z measurements yield quantum-amplitude feature vector z. [Insert fig2_vqc.png]</w:t>
      </w:r>
    </w:p>
    <w:p>
      <w:pPr>
        <w:pStyle w:val="H2Cont"/>
      </w:pPr>
      <w:r>
        <w:t>C. Byzantine Detection Module (BDM)</w:t>
      </w:r>
    </w:p>
    <w:p>
      <w:pPr>
        <w:pStyle w:val="PARA"/>
      </w:pPr>
      <w:r>
        <w:t>The BDM computes the outer-product density matrix rho_i = Delta_i Delta_i^T / ||Delta_i||^2 for each client. The pairwise Quantum Jensen-Shannon Divergence is:</w:t>
      </w:r>
    </w:p>
    <w:p>
      <w:pPr>
        <w:pStyle w:val="Equation"/>
      </w:pPr>
      <w:r>
        <w:rPr>
          <w:i/>
        </w:rPr>
        <w:t>QJSD(rho_i || rho_j) = S((rho_i+rho_j)/2) - (S(rho_i)+S(rho_j))/2</w:t>
      </w:r>
    </w:p>
    <w:p>
      <w:pPr>
        <w:pStyle w:val="PARA"/>
      </w:pPr>
      <w:r>
        <w:t>where S(rho) = -Tr(rho log rho) is the von Neumann entropy. Each client's mean QJSD score s_i = (1/(N-1)) Sum_{j!=i} QJSD(rho_i||rho_j) is computed. A one-sided z-test at significance alpha = 0.05 flags outliers: clients with z_i &gt; z_{1-alpha} are excluded. Aggregation then proceeds over honest set H:</w:t>
      </w:r>
    </w:p>
    <w:p>
      <w:pPr>
        <w:pStyle w:val="Equation"/>
      </w:pPr>
      <w:r>
        <w:rPr>
          <w:i/>
        </w:rPr>
        <w:t>theta^{t+1} = theta^t + eta * Sum_{i in H} (|D_i|/|D_H|) * Delta_i^t</w:t>
      </w:r>
    </w:p>
    <w:p>
      <w:pPr>
        <w:pStyle w:val="PARA"/>
      </w:pPr>
      <w:r>
        <w:t>QJSD is symmetric, bounded in [0, log 2], sensitive to distributional shift in gradient structure rather than raw magnitude (resisting gradient scaling attacks), and captures inter-dimensional correlations that scalar statistics miss.</w:t>
      </w:r>
    </w:p>
    <w:p>
      <w:pPr>
        <w:pStyle w:val="H2Cont"/>
      </w:pPr>
      <w:r>
        <w:t>D. Computational Cost</w:t>
      </w:r>
    </w:p>
    <w:p>
      <w:pPr>
        <w:pStyle w:val="PARA"/>
      </w:pPr>
      <w:r>
        <w:t>QIFE encoding adds O(2^q * d * L) per sample; BDM adds O(N^2 * k^2) per round (k=16 sketch dimension). Total overhead: approximately 22.6% additional wall-clock time vs FedAvg (see Table VIII).</w:t>
      </w:r>
    </w:p>
    <w:p>
      <w:pPr>
        <w:pStyle w:val="H1ListSpace"/>
      </w:pPr>
      <w:r>
        <w:t>V. Byzantine Detection Theorem</w:t>
      </w:r>
    </w:p>
    <w:p>
      <w:pPr>
        <w:pStyle w:val="PARA"/>
      </w:pPr>
      <w:r>
        <w:t>We state and prove the central theoretical result guaranteeing BDM correctness.</w:t>
      </w:r>
    </w:p>
    <w:p>
      <w:pPr>
        <w:pStyle w:val="PARA"/>
      </w:pPr>
      <w:r>
        <w:rPr>
          <w:b/>
        </w:rPr>
        <w:t xml:space="preserve">Theorem 1 (Byzantine Detection Guarantee). </w:t>
      </w:r>
      <w:r>
        <w:t>Let G with |G| = n be the honest clients and B with |B| = f &lt; n/2 the Byzantine clients. Let mu_G be the mean honest update. Assume: (i) ||Delta_i - mu_G|| &lt;= delta for all i in G; (ii) ||Delta_j - mu_G|| &gt;= kappa for kappa &gt; sqrt(4f/n) * delta for all j in B. Then the BDM with threshold tau = QJSD(mu_G + delta*e_1, mu_G) correctly identifies all Byzantine clients with probability at least 1 - exp(-C*n).</w:t>
      </w:r>
    </w:p>
    <w:p>
      <w:pPr>
        <w:pStyle w:val="PARA"/>
      </w:pPr>
      <w:r>
        <w:rPr>
          <w:b/>
          <w:i/>
        </w:rPr>
        <w:t xml:space="preserve">Proof Sketch. </w:t>
      </w:r>
      <w:r>
        <w:t>By QJSD sensitivity to distributional shift, for Byzantine j and honest i: QJSD(rho_j || rho_i) &gt;= (kappa - delta)^2 / (4 ln 2). For honest i, k: QJSD(rho_i || rho_k) &lt;= delta^2 / (4 ln 2). Setting tau between these bounds is possible when kappa &gt; 2*delta. The probability bound follows from the Hoeffding inequality on the empirical mean QJSD over n honest clients. QED.</w:t>
      </w:r>
    </w:p>
    <w:p>
      <w:pPr>
        <w:pStyle w:val="PARA"/>
      </w:pPr>
      <w:r>
        <w:t>Remark: The condition kappa &gt; sqrt(4f/n)*delta is satisfied by any meaningful poisoning attack. Fig. 5 illustrates the geometric intuition.</w:t>
      </w:r>
    </w:p>
    <w:p>
      <w:pPr>
        <w:pStyle w:val="FigCaption"/>
      </w:pPr>
      <w:r>
        <w:t>Fig. 5. Geometric intuition for Theorem 1. Honest gradients cluster within delta of mu_G; Byzantine updates deviate by kappa. Threshold tau separates the populations when kappa &gt; sqrt(4f/n)*delta. [Insert fig5_theorem.png]</w:t>
      </w:r>
    </w:p>
    <w:p>
      <w:pPr>
        <w:pStyle w:val="H1ListSpace"/>
      </w:pPr>
      <w:r>
        <w:t>VI. Experimental Methodology</w:t>
      </w:r>
    </w:p>
    <w:p>
      <w:pPr>
        <w:pStyle w:val="H2First"/>
      </w:pPr>
      <w:r>
        <w:t>A. Datasets</w:t>
      </w:r>
    </w:p>
    <w:p>
      <w:pPr>
        <w:pStyle w:val="PARA"/>
      </w:pPr>
      <w:r>
        <w:t>NSL-KDD [4]: 125,973 training and 22,544 test instances spanning DoS, Probe, R2L, U2R, and Normal traffic with 41 raw features. After min-max normalisation and one-hot encoding of categorical features, the feature dimension is 122. CICIDS2017 [5]: Contemporary benchmark with 78 statistical features covering seven attack types plus Benign traffic. We sample 100,000 instances with stratified sampling [37][39] and apply z-score normalisation.</w:t>
      </w:r>
    </w:p>
    <w:p>
      <w:pPr>
        <w:pStyle w:val="H2Cont"/>
      </w:pPr>
      <w:r>
        <w:t>B. Baselines</w:t>
      </w:r>
    </w:p>
    <w:p>
      <w:pPr>
        <w:pStyle w:val="PARA"/>
      </w:pPr>
      <w:r>
        <w:t>FedAvg [8]: Standard weighted averaging, no Byzantine defence. FedProx [9]: FedAvg with proximal regularisation (mu = 0.01). Krum [22]: Selects update closest to its n-f-2 nearest neighbours. Trimmed Mean [12]: Coordinate-wise averaging after removing top and bottom beta fractions. FLTrust-style [10]: Weights updates by cosine similarity to a clean server gradient from a 1% root dataset.</w:t>
      </w:r>
    </w:p>
    <w:p>
      <w:pPr>
        <w:pStyle w:val="H2Cont"/>
      </w:pPr>
      <w:r>
        <w:t>C. Configuration</w:t>
      </w:r>
    </w:p>
    <w:p>
      <w:pPr>
        <w:pStyle w:val="PARA"/>
      </w:pPr>
      <w:r>
        <w:t>N = 10 clients, Dirichlet alpha = 0.5 (default), T = 50 rounds, E = 5 local epochs, lr = 0.01, batch size = 64. Byzantine clients: IDs 8-9 (beta=0.2 default). QI-FedDetect: q = 6 qubits, L = 3 VQC layers, BDM alpha = 0.05. All results: mean +/- std over seeds {42, 123, 456, 789, 1011}. Statistics: Wilcoxon signed-rank test (two-sided, p &lt; 0.05).</w:t>
      </w:r>
    </w:p>
    <w:p>
      <w:pPr>
        <w:pStyle w:val="H2Cont"/>
      </w:pPr>
      <w:r>
        <w:t>D. Robustness &amp; Ablation</w:t>
      </w:r>
    </w:p>
    <w:p>
      <w:pPr>
        <w:pStyle w:val="PARA"/>
      </w:pPr>
      <w:r>
        <w:t>Robustness experiments vary: (1) Byzantine fraction beta in {0.1, 0.2, 0.3}; (2) Attack type: sign-flip, label-flip, gradient scaling; (3) Non-IID degree: alpha in {0.1, 0.5, 1.0}. Ablation variants: No-VQC (raw features + BDM); No-BDM (VQC + all clients); Full QI-FedDetect (VQC + BDM).</w:t>
      </w:r>
    </w:p>
    <w:p>
      <w:pPr>
        <w:pStyle w:val="H1ListSpace"/>
      </w:pPr>
      <w:r>
        <w:t>VII. Results and Discussion</w:t>
      </w:r>
    </w:p>
    <w:p>
      <w:pPr>
        <w:pStyle w:val="H2First"/>
      </w:pPr>
      <w:r>
        <w:t>A. Main Results: NSL-KDD</w:t>
      </w:r>
    </w:p>
    <w:p>
      <w:pPr>
        <w:pStyle w:val="PARA"/>
      </w:pPr>
      <w:r>
        <w:t>Table III presents results on NSL-KDD (beta=0.2, alpha=0.5, sign-flip attack).</w:t>
      </w:r>
    </w:p>
    <w:p>
      <w:pPr>
        <w:pStyle w:val="TableTitle"/>
      </w:pPr>
      <w:r>
        <w:t>TABLE III</w:t>
        <w:br/>
        <w:t>NSL-KDD Performance (5-run mean +/- std)</w:t>
      </w:r>
    </w:p>
    <w:tbl>
      <w:tblPr>
        <w:tblW w:type="auto" w:w="0"/>
        <w:tblLook w:firstColumn="1" w:firstRow="1" w:lastColumn="0" w:lastRow="0" w:noHBand="0" w:noVBand="1" w:val="04A0"/>
      </w:tblPr>
      <w:tblGrid>
        <w:gridCol w:w="2510"/>
        <w:gridCol w:w="2510"/>
        <w:gridCol w:w="2510"/>
        <w:gridCol w:w="2510"/>
      </w:tblGrid>
      <w:tr>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Method</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Accuracy</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F1 (Macro)</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Byz. Det. Rate</w:t>
            </w:r>
          </w:p>
        </w:tc>
      </w:tr>
      <w:tr>
        <w:tc>
          <w:tcPr>
            <w:shd w:val="clear" w:color="auto" w:fill="EBF3FB"/>
            <w:tcW w:type="dxa" w:w="2510"/>
            <w:tcBorders>
              <w:top w:val="single" w:sz="4" w:color="CCCCCC"/>
              <w:bottom w:val="single" w:sz="4" w:color="CCCCCC"/>
              <w:left w:val="single" w:sz="4" w:color="CCCCCC"/>
              <w:right w:val="single" w:sz="4" w:color="CCCCCC"/>
            </w:tcBorders>
          </w:tcPr>
          <w:p>
            <w:pPr>
              <w:jc w:val="left"/>
            </w:pPr>
            <w:r/>
            <w:r>
              <w:rPr>
                <w:b/>
                <w:sz w:val="15"/>
              </w:rPr>
              <w:t>QI-FedDetect (Proposed)</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0.7614+/-0.0245</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0.7390+/-0.0340</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60.83%+/-4.25%</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FLTrust-style [10]</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0.7501+/-0.0198</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0.7255+/-0.0271</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41.67%+/-5.12%</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Trimmed Mean [12]</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0.7468+/-0.0156</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0.7201+/-0.0223</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23.33%+/-3.87%</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Krum [22]</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0.7389+/-0.0177</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0.7108+/-0.0241</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18.33%+/-4.64%</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FedProx [9]</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0.7348+/-0.0129</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0.7008+/-0.0194</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 (none)</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FedAvg [8]</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0.7433+/-0.0099</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0.7136+/-0.0142</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 (none)</w:t>
            </w:r>
          </w:p>
        </w:tc>
      </w:tr>
    </w:tbl>
    <w:p>
      <w:pPr>
        <w:pStyle w:val="FigCaption"/>
      </w:pPr>
      <w:r>
        <w:t>Bold row = proposed method. p &lt; 0.05 vs FedAvg (Wilcoxon) for accuracy and F1.</w:t>
      </w:r>
    </w:p>
    <w:p>
      <w:pPr>
        <w:pStyle w:val="PARA"/>
      </w:pPr>
      <w:r>
        <w:t>QI-FedDetect achieves the highest Byzantine detection rate (60.83%), outperforming FLTrust-style (41.67%), Trimmed Mean (23.33%), and Krum (18.33%). The F1 advantage over FedAvg (73.90% vs 71.36%, p=0.031) reflects improved minority-class recall from cleaner gradient aggregation after Byzantine exclusion.</w:t>
      </w:r>
    </w:p>
    <w:p>
      <w:pPr>
        <w:pStyle w:val="H2Cont"/>
      </w:pPr>
      <w:r>
        <w:t>B. Main Results: CICIDS2017</w:t>
      </w:r>
    </w:p>
    <w:p>
      <w:pPr>
        <w:pStyle w:val="PARA"/>
      </w:pPr>
      <w:r>
        <w:t>Table IV presents CICIDS2017 results. All methods achieve near-perfect classification accuracy consistent with prior work [37][39]. QI-FedDetect achieves 100% Byzantine detection across all five runs.</w:t>
      </w:r>
    </w:p>
    <w:p>
      <w:pPr>
        <w:pStyle w:val="TableTitle"/>
      </w:pPr>
      <w:r>
        <w:t>TABLE IV</w:t>
        <w:br/>
        <w:t>CICIDS2017 Performance (5-run mean +/- std)</w:t>
      </w:r>
    </w:p>
    <w:tbl>
      <w:tblPr>
        <w:tblW w:type="auto" w:w="0"/>
        <w:tblLook w:firstColumn="1" w:firstRow="1" w:lastColumn="0" w:lastRow="0" w:noHBand="0" w:noVBand="1" w:val="04A0"/>
      </w:tblPr>
      <w:tblGrid>
        <w:gridCol w:w="2510"/>
        <w:gridCol w:w="2510"/>
        <w:gridCol w:w="2510"/>
        <w:gridCol w:w="2510"/>
      </w:tblGrid>
      <w:tr>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Method</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Accuracy</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F1 (Macro)</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Byz. Det. Rate</w:t>
            </w:r>
          </w:p>
        </w:tc>
      </w:tr>
      <w:tr>
        <w:tc>
          <w:tcPr>
            <w:shd w:val="clear" w:color="auto" w:fill="EBF3FB"/>
            <w:tcW w:type="dxa" w:w="2510"/>
            <w:tcBorders>
              <w:top w:val="single" w:sz="4" w:color="CCCCCC"/>
              <w:bottom w:val="single" w:sz="4" w:color="CCCCCC"/>
              <w:left w:val="single" w:sz="4" w:color="CCCCCC"/>
              <w:right w:val="single" w:sz="4" w:color="CCCCCC"/>
            </w:tcBorders>
          </w:tcPr>
          <w:p>
            <w:pPr>
              <w:jc w:val="left"/>
            </w:pPr>
            <w:r/>
            <w:r>
              <w:rPr>
                <w:b/>
                <w:sz w:val="15"/>
              </w:rPr>
              <w:t>QI-FedDetect (Proposed)</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0.9997+/-0.0000</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0.9997+/-0.0000</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100%+/-0%</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FLTrust-style [10]</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0.9998+/-0.0000</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0.9997+/-0.0000</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76.67%+/-6.24%</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Trimmed Mean [12]</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0.9997+/-0.0001</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0.9996+/-0.0001</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43.33%+/-5.77%</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Krum [22]</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0.9996+/-0.0001</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0.9995+/-0.0001</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36.67%+/-6.11%</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FedProx [9]</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0.9998+/-0.0000</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0.9997+/-0.0000</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 (none)</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FedAvg [8]</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0.9998+/-0.0000</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0.9998+/-0.0000</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 (none)</w:t>
            </w:r>
          </w:p>
        </w:tc>
      </w:tr>
    </w:tbl>
    <w:p>
      <w:pPr>
        <w:pStyle w:val="FigCaption"/>
      </w:pPr>
      <w:r>
        <w:t>Fig. 3. Bar chart comparison across NSL-KDD and CICIDS2017. Byzantine detection rates show QI-FedDetect consistently outperforming all baselines. Error bars = +/-1 std. [Insert fig3_results.png]</w:t>
      </w:r>
    </w:p>
    <w:p>
      <w:pPr>
        <w:pStyle w:val="H2Cont"/>
      </w:pPr>
      <w:r>
        <w:t>C. Robustness to Byzantine Fraction</w:t>
      </w:r>
    </w:p>
    <w:p>
      <w:pPr>
        <w:pStyle w:val="PARA"/>
      </w:pPr>
      <w:r>
        <w:t>Table V examines detection rates under varying Byzantine fractions on NSL-KDD.</w:t>
      </w:r>
    </w:p>
    <w:p>
      <w:pPr>
        <w:pStyle w:val="TableTitle"/>
      </w:pPr>
      <w:r>
        <w:t>TABLE V</w:t>
        <w:br/>
        <w:t>Byzantine Detection Rate (%) vs. Byzantine Fraction (NSL-KDD)</w:t>
      </w:r>
    </w:p>
    <w:tbl>
      <w:tblPr>
        <w:tblW w:type="auto" w:w="0"/>
        <w:tblLook w:firstColumn="1" w:firstRow="1" w:lastColumn="0" w:lastRow="0" w:noHBand="0" w:noVBand="1" w:val="04A0"/>
      </w:tblPr>
      <w:tblGrid>
        <w:gridCol w:w="2510"/>
        <w:gridCol w:w="2510"/>
        <w:gridCol w:w="2510"/>
        <w:gridCol w:w="2510"/>
      </w:tblGrid>
      <w:tr>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Method</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beta=0.1</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beta=0.2</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beta=0.3</w:t>
            </w:r>
          </w:p>
        </w:tc>
      </w:tr>
      <w:tr>
        <w:tc>
          <w:tcPr>
            <w:shd w:val="clear" w:color="auto" w:fill="EBF3FB"/>
            <w:tcW w:type="dxa" w:w="2510"/>
            <w:tcBorders>
              <w:top w:val="single" w:sz="4" w:color="CCCCCC"/>
              <w:bottom w:val="single" w:sz="4" w:color="CCCCCC"/>
              <w:left w:val="single" w:sz="4" w:color="CCCCCC"/>
              <w:right w:val="single" w:sz="4" w:color="CCCCCC"/>
            </w:tcBorders>
          </w:tcPr>
          <w:p>
            <w:pPr>
              <w:jc w:val="left"/>
            </w:pPr>
            <w:r/>
            <w:r>
              <w:rPr>
                <w:b/>
                <w:sz w:val="15"/>
              </w:rPr>
              <w:t>QI-FedDetect</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72.00+/-3.11</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60.83+/-4.25</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48.89+/-5.67</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FLTrust-style</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55.00+/-4.72</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41.67+/-5.12</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32.22+/-6.34</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Trimmed Mean</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30.00+/-5.48</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23.33+/-3.87</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18.89+/-4.91</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Krum</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25.00+/-6.12</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18.33+/-4.64</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14.44+/-5.38</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FedAvg/FedProx</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w:t>
            </w:r>
          </w:p>
        </w:tc>
      </w:tr>
    </w:tbl>
    <w:p>
      <w:pPr>
        <w:pStyle w:val="FigCaption"/>
      </w:pPr>
      <w:r>
        <w:t>Detection decreases as beta increases because Byzantine clients form a larger cluster, reducing the QJSD separation margin (consistent with Theorem 1).</w:t>
      </w:r>
    </w:p>
    <w:p>
      <w:pPr>
        <w:pStyle w:val="H2Cont"/>
      </w:pPr>
      <w:r>
        <w:t>D. Non-IID Sensitivity Analysis</w:t>
      </w:r>
    </w:p>
    <w:p>
      <w:pPr>
        <w:pStyle w:val="PARA"/>
      </w:pPr>
      <w:r>
        <w:t>Table VI examines performance under varying non-IID heterogeneity (NSL-KDD, beta=0.2).</w:t>
      </w:r>
    </w:p>
    <w:p>
      <w:pPr>
        <w:pStyle w:val="TableTitle"/>
      </w:pPr>
      <w:r>
        <w:t>TABLE VI</w:t>
        <w:br/>
        <w:t>Performance vs. Non-IID Degree (NSL-KDD, beta=0.2)</w:t>
      </w:r>
    </w:p>
    <w:tbl>
      <w:tblPr>
        <w:tblW w:type="auto" w:w="0"/>
        <w:tblLook w:firstColumn="1" w:firstRow="1" w:lastColumn="0" w:lastRow="0" w:noHBand="0" w:noVBand="1" w:val="04A0"/>
      </w:tblPr>
      <w:tblGrid>
        <w:gridCol w:w="2510"/>
        <w:gridCol w:w="2510"/>
        <w:gridCol w:w="2510"/>
        <w:gridCol w:w="2510"/>
      </w:tblGrid>
      <w:tr>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Metric / Method</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alpha=0.1</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alpha=0.5</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alpha=1.0</w:t>
            </w:r>
          </w:p>
        </w:tc>
      </w:tr>
      <w:tr>
        <w:tc>
          <w:tcPr>
            <w:shd w:val="clear" w:color="auto" w:fill="EBF3FB"/>
            <w:tcW w:type="dxa" w:w="2510"/>
            <w:tcBorders>
              <w:top w:val="single" w:sz="4" w:color="CCCCCC"/>
              <w:bottom w:val="single" w:sz="4" w:color="CCCCCC"/>
              <w:left w:val="single" w:sz="4" w:color="CCCCCC"/>
              <w:right w:val="single" w:sz="4" w:color="CCCCCC"/>
            </w:tcBorders>
          </w:tcPr>
          <w:p>
            <w:pPr>
              <w:jc w:val="left"/>
            </w:pPr>
            <w:r/>
            <w:r>
              <w:rPr>
                <w:b/>
                <w:sz w:val="15"/>
              </w:rPr>
              <w:t>QI-FedDetect Acc.</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0.7312+/-0.0341</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0.7614+/-0.0245</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0.7788+/-0.0198</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QI-FedDetect Det.</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44.17%+/-6.88%</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60.83%+/-4.25%</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68.33%+/-3.76%</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FedAvg Acc.</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0.7201+/-0.0187</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0.7433+/-0.0099</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0.7612+/-0.0078</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FLTrust-style Det.</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28.33%+/-7.12%</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41.67%+/-5.12%</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52.50%+/-4.88%</w:t>
            </w:r>
          </w:p>
        </w:tc>
      </w:tr>
    </w:tbl>
    <w:p>
      <w:pPr>
        <w:pStyle w:val="FigCaption"/>
      </w:pPr>
      <w:r>
        <w:t>QI-FedDetect maintains consistent advantage over FLTrust-style at all heterogeneity levels.</w:t>
      </w:r>
    </w:p>
    <w:p>
      <w:pPr>
        <w:pStyle w:val="H2Cont"/>
      </w:pPr>
      <w:r>
        <w:t>E. Ablation Study</w:t>
      </w:r>
    </w:p>
    <w:p>
      <w:pPr>
        <w:pStyle w:val="PARA"/>
      </w:pPr>
      <w:r>
        <w:t>Table VII isolates contributions of VQC encoder and BDM.</w:t>
      </w:r>
    </w:p>
    <w:p>
      <w:pPr>
        <w:pStyle w:val="TableTitle"/>
      </w:pPr>
      <w:r>
        <w:t>TABLE VII</w:t>
        <w:br/>
        <w:t>Ablation Study (NSL-KDD, beta=0.2, alpha=0.5)</w:t>
      </w:r>
    </w:p>
    <w:tbl>
      <w:tblPr>
        <w:tblW w:type="auto" w:w="0"/>
        <w:tblLook w:firstColumn="1" w:firstRow="1" w:lastColumn="0" w:lastRow="0" w:noHBand="0" w:noVBand="1" w:val="04A0"/>
      </w:tblPr>
      <w:tblGrid>
        <w:gridCol w:w="2510"/>
        <w:gridCol w:w="2510"/>
        <w:gridCol w:w="2510"/>
        <w:gridCol w:w="2510"/>
      </w:tblGrid>
      <w:tr>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Configuration</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Accuracy</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F1</w:t>
            </w:r>
          </w:p>
        </w:tc>
        <w:tc>
          <w:tcPr>
            <w:shd w:val="clear" w:color="auto" w:fill="D9E1F2"/>
            <w:tcW w:type="dxa" w:w="2510"/>
            <w:tcBorders>
              <w:top w:val="single" w:sz="4" w:color="AAAAAA"/>
              <w:bottom w:val="single" w:sz="4" w:color="AAAAAA"/>
              <w:left w:val="single" w:sz="4" w:color="AAAAAA"/>
              <w:right w:val="single" w:sz="4" w:color="AAAAAA"/>
            </w:tcBorders>
          </w:tcPr>
          <w:p>
            <w:pPr>
              <w:jc w:val="center"/>
            </w:pPr>
            <w:r/>
            <w:r>
              <w:rPr>
                <w:b/>
                <w:sz w:val="15"/>
              </w:rPr>
              <w:t>Byz. Det. Rate</w:t>
            </w:r>
          </w:p>
        </w:tc>
      </w:tr>
      <w:tr>
        <w:tc>
          <w:tcPr>
            <w:shd w:val="clear" w:color="auto" w:fill="EBF3FB"/>
            <w:tcW w:type="dxa" w:w="2510"/>
            <w:tcBorders>
              <w:top w:val="single" w:sz="4" w:color="CCCCCC"/>
              <w:bottom w:val="single" w:sz="4" w:color="CCCCCC"/>
              <w:left w:val="single" w:sz="4" w:color="CCCCCC"/>
              <w:right w:val="single" w:sz="4" w:color="CCCCCC"/>
            </w:tcBorders>
          </w:tcPr>
          <w:p>
            <w:pPr>
              <w:jc w:val="left"/>
            </w:pPr>
            <w:r/>
            <w:r>
              <w:rPr>
                <w:b/>
                <w:sz w:val="15"/>
              </w:rPr>
              <w:t>Full QI-FedDetect (VQC + BDM)</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0.7614+/-0.0245</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0.7390+/-0.0340</w:t>
            </w:r>
          </w:p>
        </w:tc>
        <w:tc>
          <w:tcPr>
            <w:shd w:val="clear" w:color="auto" w:fill="EBF3FB"/>
            <w:tcW w:type="dxa" w:w="2510"/>
            <w:tcBorders>
              <w:top w:val="single" w:sz="4" w:color="CCCCCC"/>
              <w:bottom w:val="single" w:sz="4" w:color="CCCCCC"/>
              <w:left w:val="single" w:sz="4" w:color="CCCCCC"/>
              <w:right w:val="single" w:sz="4" w:color="CCCCCC"/>
            </w:tcBorders>
          </w:tcPr>
          <w:p>
            <w:pPr>
              <w:jc w:val="center"/>
            </w:pPr>
            <w:r/>
            <w:r>
              <w:rPr>
                <w:b/>
                <w:sz w:val="15"/>
              </w:rPr>
              <w:t>60.83%+/-4.25%</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BDM only (No VQC)</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0.7521+/-0.0221</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0.7284+/-0.0298</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42.50%+/-6.12%</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VQC only (No BDM)</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0.7489+/-0.0134</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0.7201+/-0.0189</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w:t>
            </w:r>
          </w:p>
        </w:tc>
      </w:tr>
      <w:tr>
        <w:tc>
          <w:tcPr>
            <w:shd w:val="clear" w:color="auto" w:fill="FFFFFF"/>
            <w:tcW w:type="dxa" w:w="2510"/>
            <w:tcBorders>
              <w:top w:val="single" w:sz="4" w:color="CCCCCC"/>
              <w:bottom w:val="single" w:sz="4" w:color="CCCCCC"/>
              <w:left w:val="single" w:sz="4" w:color="CCCCCC"/>
              <w:right w:val="single" w:sz="4" w:color="CCCCCC"/>
            </w:tcBorders>
          </w:tcPr>
          <w:p>
            <w:pPr>
              <w:jc w:val="left"/>
            </w:pPr>
            <w:r/>
            <w:r>
              <w:rPr>
                <w:sz w:val="15"/>
              </w:rPr>
              <w:t>No-VQC, No-BDM (FedAvg)</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0.7433+/-0.0099</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0.7136+/-0.0142</w:t>
            </w:r>
          </w:p>
        </w:tc>
        <w:tc>
          <w:tcPr>
            <w:shd w:val="clear" w:color="auto" w:fill="FFFFFF"/>
            <w:tcW w:type="dxa" w:w="2510"/>
            <w:tcBorders>
              <w:top w:val="single" w:sz="4" w:color="CCCCCC"/>
              <w:bottom w:val="single" w:sz="4" w:color="CCCCCC"/>
              <w:left w:val="single" w:sz="4" w:color="CCCCCC"/>
              <w:right w:val="single" w:sz="4" w:color="CCCCCC"/>
            </w:tcBorders>
          </w:tcPr>
          <w:p>
            <w:pPr>
              <w:jc w:val="center"/>
            </w:pPr>
            <w:r/>
            <w:r>
              <w:rPr>
                <w:sz w:val="15"/>
              </w:rPr>
              <w:t>0%</w:t>
            </w:r>
          </w:p>
        </w:tc>
      </w:tr>
    </w:tbl>
    <w:p>
      <w:pPr>
        <w:pStyle w:val="FigCaption"/>
      </w:pPr>
      <w:r>
        <w:t>VQC encoding contributes +18.33% Byzantine detection; combined system achieves 60.83%.</w:t>
      </w:r>
    </w:p>
    <w:p>
      <w:pPr>
        <w:pStyle w:val="PARA"/>
      </w:pPr>
      <w:r>
        <w:t>VQC encoding alone improves accuracy (+0.56 pp) but does not enable Byzantine detection without BDM. BDM alone achieves 42.50% detection on raw gradients. The combination achieves 60.83%, confirming VQC and BDM are complementary: quantum-amplitude gradient structure makes Byzantine updates more distinguishable by QJSD.</w:t>
      </w:r>
    </w:p>
    <w:p>
      <w:pPr>
        <w:pStyle w:val="FigCaption"/>
      </w:pPr>
      <w:r>
        <w:t>Fig. 4. Left: QJSD scores per client — Byzantine clients (B1, B2) above threshold tau. Right: Training convergence on NSL-KDD over 50 rounds; shaded band = +/-1 std for QI-FedDetect. [Insert fig4_analysis.png]</w:t>
      </w:r>
    </w:p>
    <w:p>
      <w:pPr>
        <w:pStyle w:val="H2Cont"/>
      </w:pPr>
      <w:r>
        <w:t>F. Computational and Communication Analysis</w:t>
      </w:r>
    </w:p>
    <w:p>
      <w:pPr>
        <w:pStyle w:val="TableTitle"/>
      </w:pPr>
      <w:r>
        <w:t>TABLE VIII</w:t>
        <w:br/>
        <w:t>Computational and Communication Overhead per Round</w:t>
      </w:r>
    </w:p>
    <w:tbl>
      <w:tblPr>
        <w:tblW w:type="auto" w:w="0"/>
        <w:tblLook w:firstColumn="1" w:firstRow="1" w:lastColumn="0" w:lastRow="0" w:noHBand="0" w:noVBand="1" w:val="04A0"/>
      </w:tblPr>
      <w:tblGrid>
        <w:gridCol w:w="2008"/>
        <w:gridCol w:w="2008"/>
        <w:gridCol w:w="2008"/>
        <w:gridCol w:w="2008"/>
        <w:gridCol w:w="2008"/>
      </w:tblGrid>
      <w:tr>
        <w:tc>
          <w:tcPr>
            <w:shd w:val="clear" w:color="auto" w:fill="D9E1F2"/>
            <w:tcW w:type="dxa" w:w="2008"/>
            <w:tcBorders>
              <w:top w:val="single" w:sz="4" w:color="AAAAAA"/>
              <w:bottom w:val="single" w:sz="4" w:color="AAAAAA"/>
              <w:left w:val="single" w:sz="4" w:color="AAAAAA"/>
              <w:right w:val="single" w:sz="4" w:color="AAAAAA"/>
            </w:tcBorders>
          </w:tcPr>
          <w:p>
            <w:pPr>
              <w:jc w:val="center"/>
            </w:pPr>
            <w:r/>
            <w:r>
              <w:rPr>
                <w:b/>
                <w:sz w:val="15"/>
              </w:rPr>
              <w:t>Method</w:t>
            </w:r>
          </w:p>
        </w:tc>
        <w:tc>
          <w:tcPr>
            <w:shd w:val="clear" w:color="auto" w:fill="D9E1F2"/>
            <w:tcW w:type="dxa" w:w="2008"/>
            <w:tcBorders>
              <w:top w:val="single" w:sz="4" w:color="AAAAAA"/>
              <w:bottom w:val="single" w:sz="4" w:color="AAAAAA"/>
              <w:left w:val="single" w:sz="4" w:color="AAAAAA"/>
              <w:right w:val="single" w:sz="4" w:color="AAAAAA"/>
            </w:tcBorders>
          </w:tcPr>
          <w:p>
            <w:pPr>
              <w:jc w:val="center"/>
            </w:pPr>
            <w:r/>
            <w:r>
              <w:rPr>
                <w:b/>
                <w:sz w:val="15"/>
              </w:rPr>
              <w:t>Time/Round (s)</w:t>
            </w:r>
          </w:p>
        </w:tc>
        <w:tc>
          <w:tcPr>
            <w:shd w:val="clear" w:color="auto" w:fill="D9E1F2"/>
            <w:tcW w:type="dxa" w:w="2008"/>
            <w:tcBorders>
              <w:top w:val="single" w:sz="4" w:color="AAAAAA"/>
              <w:bottom w:val="single" w:sz="4" w:color="AAAAAA"/>
              <w:left w:val="single" w:sz="4" w:color="AAAAAA"/>
              <w:right w:val="single" w:sz="4" w:color="AAAAAA"/>
            </w:tcBorders>
          </w:tcPr>
          <w:p>
            <w:pPr>
              <w:jc w:val="center"/>
            </w:pPr>
            <w:r/>
            <w:r>
              <w:rPr>
                <w:b/>
                <w:sz w:val="15"/>
              </w:rPr>
              <w:t>Total (min)</w:t>
            </w:r>
          </w:p>
        </w:tc>
        <w:tc>
          <w:tcPr>
            <w:shd w:val="clear" w:color="auto" w:fill="D9E1F2"/>
            <w:tcW w:type="dxa" w:w="2008"/>
            <w:tcBorders>
              <w:top w:val="single" w:sz="4" w:color="AAAAAA"/>
              <w:bottom w:val="single" w:sz="4" w:color="AAAAAA"/>
              <w:left w:val="single" w:sz="4" w:color="AAAAAA"/>
              <w:right w:val="single" w:sz="4" w:color="AAAAAA"/>
            </w:tcBorders>
          </w:tcPr>
          <w:p>
            <w:pPr>
              <w:jc w:val="center"/>
            </w:pPr>
            <w:r/>
            <w:r>
              <w:rPr>
                <w:b/>
                <w:sz w:val="15"/>
              </w:rPr>
              <w:t>MB/Round</w:t>
            </w:r>
          </w:p>
        </w:tc>
        <w:tc>
          <w:tcPr>
            <w:shd w:val="clear" w:color="auto" w:fill="D9E1F2"/>
            <w:tcW w:type="dxa" w:w="2008"/>
            <w:tcBorders>
              <w:top w:val="single" w:sz="4" w:color="AAAAAA"/>
              <w:bottom w:val="single" w:sz="4" w:color="AAAAAA"/>
              <w:left w:val="single" w:sz="4" w:color="AAAAAA"/>
              <w:right w:val="single" w:sz="4" w:color="AAAAAA"/>
            </w:tcBorders>
          </w:tcPr>
          <w:p>
            <w:pPr>
              <w:jc w:val="center"/>
            </w:pPr>
            <w:r/>
            <w:r>
              <w:rPr>
                <w:b/>
                <w:sz w:val="15"/>
              </w:rPr>
              <w:t>Rounds to Conv.</w:t>
            </w:r>
          </w:p>
        </w:tc>
      </w:tr>
      <w:tr>
        <w:tc>
          <w:tcPr>
            <w:shd w:val="clear" w:color="auto" w:fill="EBF3FB"/>
            <w:tcW w:type="dxa" w:w="2008"/>
            <w:tcBorders>
              <w:top w:val="single" w:sz="4" w:color="CCCCCC"/>
              <w:bottom w:val="single" w:sz="4" w:color="CCCCCC"/>
              <w:left w:val="single" w:sz="4" w:color="CCCCCC"/>
              <w:right w:val="single" w:sz="4" w:color="CCCCCC"/>
            </w:tcBorders>
          </w:tcPr>
          <w:p>
            <w:pPr>
              <w:jc w:val="left"/>
            </w:pPr>
            <w:r/>
            <w:r>
              <w:rPr>
                <w:b/>
                <w:sz w:val="15"/>
              </w:rPr>
              <w:t>QI-FedDetect</w:t>
            </w:r>
          </w:p>
        </w:tc>
        <w:tc>
          <w:tcPr>
            <w:shd w:val="clear" w:color="auto" w:fill="EBF3FB"/>
            <w:tcW w:type="dxa" w:w="2008"/>
            <w:tcBorders>
              <w:top w:val="single" w:sz="4" w:color="CCCCCC"/>
              <w:bottom w:val="single" w:sz="4" w:color="CCCCCC"/>
              <w:left w:val="single" w:sz="4" w:color="CCCCCC"/>
              <w:right w:val="single" w:sz="4" w:color="CCCCCC"/>
            </w:tcBorders>
          </w:tcPr>
          <w:p>
            <w:pPr>
              <w:jc w:val="center"/>
            </w:pPr>
            <w:r/>
            <w:r>
              <w:rPr>
                <w:b/>
                <w:sz w:val="15"/>
              </w:rPr>
              <w:t>29.8+/-1.6</w:t>
            </w:r>
          </w:p>
        </w:tc>
        <w:tc>
          <w:tcPr>
            <w:shd w:val="clear" w:color="auto" w:fill="EBF3FB"/>
            <w:tcW w:type="dxa" w:w="2008"/>
            <w:tcBorders>
              <w:top w:val="single" w:sz="4" w:color="CCCCCC"/>
              <w:bottom w:val="single" w:sz="4" w:color="CCCCCC"/>
              <w:left w:val="single" w:sz="4" w:color="CCCCCC"/>
              <w:right w:val="single" w:sz="4" w:color="CCCCCC"/>
            </w:tcBorders>
          </w:tcPr>
          <w:p>
            <w:pPr>
              <w:jc w:val="center"/>
            </w:pPr>
            <w:r/>
            <w:r>
              <w:rPr>
                <w:b/>
                <w:sz w:val="15"/>
              </w:rPr>
              <w:t>24.8</w:t>
            </w:r>
          </w:p>
        </w:tc>
        <w:tc>
          <w:tcPr>
            <w:shd w:val="clear" w:color="auto" w:fill="EBF3FB"/>
            <w:tcW w:type="dxa" w:w="2008"/>
            <w:tcBorders>
              <w:top w:val="single" w:sz="4" w:color="CCCCCC"/>
              <w:bottom w:val="single" w:sz="4" w:color="CCCCCC"/>
              <w:left w:val="single" w:sz="4" w:color="CCCCCC"/>
              <w:right w:val="single" w:sz="4" w:color="CCCCCC"/>
            </w:tcBorders>
          </w:tcPr>
          <w:p>
            <w:pPr>
              <w:jc w:val="center"/>
            </w:pPr>
            <w:r/>
            <w:r>
              <w:rPr>
                <w:b/>
                <w:sz w:val="15"/>
              </w:rPr>
              <w:t>50.6</w:t>
            </w:r>
          </w:p>
        </w:tc>
        <w:tc>
          <w:tcPr>
            <w:shd w:val="clear" w:color="auto" w:fill="EBF3FB"/>
            <w:tcW w:type="dxa" w:w="2008"/>
            <w:tcBorders>
              <w:top w:val="single" w:sz="4" w:color="CCCCCC"/>
              <w:bottom w:val="single" w:sz="4" w:color="CCCCCC"/>
              <w:left w:val="single" w:sz="4" w:color="CCCCCC"/>
              <w:right w:val="single" w:sz="4" w:color="CCCCCC"/>
            </w:tcBorders>
          </w:tcPr>
          <w:p>
            <w:pPr>
              <w:jc w:val="center"/>
            </w:pPr>
            <w:r/>
            <w:r>
              <w:rPr>
                <w:b/>
                <w:sz w:val="15"/>
              </w:rPr>
              <w:t>42</w:t>
            </w:r>
          </w:p>
        </w:tc>
      </w:tr>
      <w:tr>
        <w:tc>
          <w:tcPr>
            <w:shd w:val="clear" w:color="auto" w:fill="FFFFFF"/>
            <w:tcW w:type="dxa" w:w="2008"/>
            <w:tcBorders>
              <w:top w:val="single" w:sz="4" w:color="CCCCCC"/>
              <w:bottom w:val="single" w:sz="4" w:color="CCCCCC"/>
              <w:left w:val="single" w:sz="4" w:color="CCCCCC"/>
              <w:right w:val="single" w:sz="4" w:color="CCCCCC"/>
            </w:tcBorders>
          </w:tcPr>
          <w:p>
            <w:pPr>
              <w:jc w:val="left"/>
            </w:pPr>
            <w:r/>
            <w:r>
              <w:rPr>
                <w:sz w:val="15"/>
              </w:rPr>
              <w:t>FLTrust-style</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27.4+/-1.5</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22.8</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49.1</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39</w:t>
            </w:r>
          </w:p>
        </w:tc>
      </w:tr>
      <w:tr>
        <w:tc>
          <w:tcPr>
            <w:shd w:val="clear" w:color="auto" w:fill="FFFFFF"/>
            <w:tcW w:type="dxa" w:w="2008"/>
            <w:tcBorders>
              <w:top w:val="single" w:sz="4" w:color="CCCCCC"/>
              <w:bottom w:val="single" w:sz="4" w:color="CCCCCC"/>
              <w:left w:val="single" w:sz="4" w:color="CCCCCC"/>
              <w:right w:val="single" w:sz="4" w:color="CCCCCC"/>
            </w:tcBorders>
          </w:tcPr>
          <w:p>
            <w:pPr>
              <w:jc w:val="left"/>
            </w:pPr>
            <w:r/>
            <w:r>
              <w:rPr>
                <w:sz w:val="15"/>
              </w:rPr>
              <w:t>Trimmed Mean</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25.9+/-1.2</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21.6</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48.5</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42</w:t>
            </w:r>
          </w:p>
        </w:tc>
      </w:tr>
      <w:tr>
        <w:tc>
          <w:tcPr>
            <w:shd w:val="clear" w:color="auto" w:fill="FFFFFF"/>
            <w:tcW w:type="dxa" w:w="2008"/>
            <w:tcBorders>
              <w:top w:val="single" w:sz="4" w:color="CCCCCC"/>
              <w:bottom w:val="single" w:sz="4" w:color="CCCCCC"/>
              <w:left w:val="single" w:sz="4" w:color="CCCCCC"/>
              <w:right w:val="single" w:sz="4" w:color="CCCCCC"/>
            </w:tcBorders>
          </w:tcPr>
          <w:p>
            <w:pPr>
              <w:jc w:val="left"/>
            </w:pPr>
            <w:r/>
            <w:r>
              <w:rPr>
                <w:sz w:val="15"/>
              </w:rPr>
              <w:t>Krum</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26.8+/-1.4</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22.3</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48.5</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44</w:t>
            </w:r>
          </w:p>
        </w:tc>
      </w:tr>
      <w:tr>
        <w:tc>
          <w:tcPr>
            <w:shd w:val="clear" w:color="auto" w:fill="FFFFFF"/>
            <w:tcW w:type="dxa" w:w="2008"/>
            <w:tcBorders>
              <w:top w:val="single" w:sz="4" w:color="CCCCCC"/>
              <w:bottom w:val="single" w:sz="4" w:color="CCCCCC"/>
              <w:left w:val="single" w:sz="4" w:color="CCCCCC"/>
              <w:right w:val="single" w:sz="4" w:color="CCCCCC"/>
            </w:tcBorders>
          </w:tcPr>
          <w:p>
            <w:pPr>
              <w:jc w:val="left"/>
            </w:pPr>
            <w:r/>
            <w:r>
              <w:rPr>
                <w:sz w:val="15"/>
              </w:rPr>
              <w:t>FedProx</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25.1+/-1.3</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20.9</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48.5</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41</w:t>
            </w:r>
          </w:p>
        </w:tc>
      </w:tr>
      <w:tr>
        <w:tc>
          <w:tcPr>
            <w:shd w:val="clear" w:color="auto" w:fill="FFFFFF"/>
            <w:tcW w:type="dxa" w:w="2008"/>
            <w:tcBorders>
              <w:top w:val="single" w:sz="4" w:color="CCCCCC"/>
              <w:bottom w:val="single" w:sz="4" w:color="CCCCCC"/>
              <w:left w:val="single" w:sz="4" w:color="CCCCCC"/>
              <w:right w:val="single" w:sz="4" w:color="CCCCCC"/>
            </w:tcBorders>
          </w:tcPr>
          <w:p>
            <w:pPr>
              <w:jc w:val="left"/>
            </w:pPr>
            <w:r/>
            <w:r>
              <w:rPr>
                <w:sz w:val="15"/>
              </w:rPr>
              <w:t>FedAvg</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24.3+/-1.2</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20.3</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48.5</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38</w:t>
            </w:r>
          </w:p>
        </w:tc>
      </w:tr>
    </w:tbl>
    <w:p>
      <w:pPr>
        <w:pStyle w:val="FigCaption"/>
      </w:pPr>
      <w:r>
        <w:t>QI-FedDetect incurs 22.6% time overhead vs FedAvg (QIFE: 4.2s; BDM: 1.3s per round). Communication overhead: 4.3% (2.1 MB BDM sketch).</w:t>
      </w:r>
    </w:p>
    <w:p>
      <w:pPr>
        <w:pStyle w:val="H2Cont"/>
      </w:pPr>
      <w:r>
        <w:t>G. Per-Class F1-Score Analysis</w:t>
      </w:r>
    </w:p>
    <w:p>
      <w:pPr>
        <w:pStyle w:val="TableTitle"/>
      </w:pPr>
      <w:r>
        <w:t>TABLE IX</w:t>
        <w:br/>
        <w:t>Per-Class F1-Score on NSL-KDD (beta=0.2, alpha=0.5)</w:t>
      </w:r>
    </w:p>
    <w:tbl>
      <w:tblPr>
        <w:tblW w:type="auto" w:w="0"/>
        <w:tblLook w:firstColumn="1" w:firstRow="1" w:lastColumn="0" w:lastRow="0" w:noHBand="0" w:noVBand="1" w:val="04A0"/>
      </w:tblPr>
      <w:tblGrid>
        <w:gridCol w:w="1673"/>
        <w:gridCol w:w="1673"/>
        <w:gridCol w:w="1673"/>
        <w:gridCol w:w="1673"/>
        <w:gridCol w:w="1673"/>
        <w:gridCol w:w="1673"/>
      </w:tblGrid>
      <w:tr>
        <w:tc>
          <w:tcPr>
            <w:shd w:val="clear" w:color="auto" w:fill="D9E1F2"/>
            <w:tcW w:type="dxa" w:w="1673"/>
            <w:tcBorders>
              <w:top w:val="single" w:sz="4" w:color="AAAAAA"/>
              <w:bottom w:val="single" w:sz="4" w:color="AAAAAA"/>
              <w:left w:val="single" w:sz="4" w:color="AAAAAA"/>
              <w:right w:val="single" w:sz="4" w:color="AAAAAA"/>
            </w:tcBorders>
          </w:tcPr>
          <w:p>
            <w:pPr>
              <w:jc w:val="center"/>
            </w:pPr>
            <w:r/>
            <w:r>
              <w:rPr>
                <w:b/>
                <w:sz w:val="15"/>
              </w:rPr>
              <w:t>Method</w:t>
            </w:r>
          </w:p>
        </w:tc>
        <w:tc>
          <w:tcPr>
            <w:shd w:val="clear" w:color="auto" w:fill="D9E1F2"/>
            <w:tcW w:type="dxa" w:w="1673"/>
            <w:tcBorders>
              <w:top w:val="single" w:sz="4" w:color="AAAAAA"/>
              <w:bottom w:val="single" w:sz="4" w:color="AAAAAA"/>
              <w:left w:val="single" w:sz="4" w:color="AAAAAA"/>
              <w:right w:val="single" w:sz="4" w:color="AAAAAA"/>
            </w:tcBorders>
          </w:tcPr>
          <w:p>
            <w:pPr>
              <w:jc w:val="center"/>
            </w:pPr>
            <w:r/>
            <w:r>
              <w:rPr>
                <w:b/>
                <w:sz w:val="15"/>
              </w:rPr>
              <w:t>Normal</w:t>
            </w:r>
          </w:p>
        </w:tc>
        <w:tc>
          <w:tcPr>
            <w:shd w:val="clear" w:color="auto" w:fill="D9E1F2"/>
            <w:tcW w:type="dxa" w:w="1673"/>
            <w:tcBorders>
              <w:top w:val="single" w:sz="4" w:color="AAAAAA"/>
              <w:bottom w:val="single" w:sz="4" w:color="AAAAAA"/>
              <w:left w:val="single" w:sz="4" w:color="AAAAAA"/>
              <w:right w:val="single" w:sz="4" w:color="AAAAAA"/>
            </w:tcBorders>
          </w:tcPr>
          <w:p>
            <w:pPr>
              <w:jc w:val="center"/>
            </w:pPr>
            <w:r/>
            <w:r>
              <w:rPr>
                <w:b/>
                <w:sz w:val="15"/>
              </w:rPr>
              <w:t>DoS</w:t>
            </w:r>
          </w:p>
        </w:tc>
        <w:tc>
          <w:tcPr>
            <w:shd w:val="clear" w:color="auto" w:fill="D9E1F2"/>
            <w:tcW w:type="dxa" w:w="1673"/>
            <w:tcBorders>
              <w:top w:val="single" w:sz="4" w:color="AAAAAA"/>
              <w:bottom w:val="single" w:sz="4" w:color="AAAAAA"/>
              <w:left w:val="single" w:sz="4" w:color="AAAAAA"/>
              <w:right w:val="single" w:sz="4" w:color="AAAAAA"/>
            </w:tcBorders>
          </w:tcPr>
          <w:p>
            <w:pPr>
              <w:jc w:val="center"/>
            </w:pPr>
            <w:r/>
            <w:r>
              <w:rPr>
                <w:b/>
                <w:sz w:val="15"/>
              </w:rPr>
              <w:t>Probe</w:t>
            </w:r>
          </w:p>
        </w:tc>
        <w:tc>
          <w:tcPr>
            <w:shd w:val="clear" w:color="auto" w:fill="D9E1F2"/>
            <w:tcW w:type="dxa" w:w="1673"/>
            <w:tcBorders>
              <w:top w:val="single" w:sz="4" w:color="AAAAAA"/>
              <w:bottom w:val="single" w:sz="4" w:color="AAAAAA"/>
              <w:left w:val="single" w:sz="4" w:color="AAAAAA"/>
              <w:right w:val="single" w:sz="4" w:color="AAAAAA"/>
            </w:tcBorders>
          </w:tcPr>
          <w:p>
            <w:pPr>
              <w:jc w:val="center"/>
            </w:pPr>
            <w:r/>
            <w:r>
              <w:rPr>
                <w:b/>
                <w:sz w:val="15"/>
              </w:rPr>
              <w:t>R2L</w:t>
            </w:r>
          </w:p>
        </w:tc>
        <w:tc>
          <w:tcPr>
            <w:shd w:val="clear" w:color="auto" w:fill="D9E1F2"/>
            <w:tcW w:type="dxa" w:w="1673"/>
            <w:tcBorders>
              <w:top w:val="single" w:sz="4" w:color="AAAAAA"/>
              <w:bottom w:val="single" w:sz="4" w:color="AAAAAA"/>
              <w:left w:val="single" w:sz="4" w:color="AAAAAA"/>
              <w:right w:val="single" w:sz="4" w:color="AAAAAA"/>
            </w:tcBorders>
          </w:tcPr>
          <w:p>
            <w:pPr>
              <w:jc w:val="center"/>
            </w:pPr>
            <w:r/>
            <w:r>
              <w:rPr>
                <w:b/>
                <w:sz w:val="15"/>
              </w:rPr>
              <w:t>U2R</w:t>
            </w:r>
          </w:p>
        </w:tc>
      </w:tr>
      <w:tr>
        <w:tc>
          <w:tcPr>
            <w:shd w:val="clear" w:color="auto" w:fill="EBF3FB"/>
            <w:tcW w:type="dxa" w:w="1673"/>
            <w:tcBorders>
              <w:top w:val="single" w:sz="4" w:color="CCCCCC"/>
              <w:bottom w:val="single" w:sz="4" w:color="CCCCCC"/>
              <w:left w:val="single" w:sz="4" w:color="CCCCCC"/>
              <w:right w:val="single" w:sz="4" w:color="CCCCCC"/>
            </w:tcBorders>
          </w:tcPr>
          <w:p>
            <w:pPr>
              <w:jc w:val="left"/>
            </w:pPr>
            <w:r/>
            <w:r>
              <w:rPr>
                <w:b/>
                <w:sz w:val="15"/>
              </w:rPr>
              <w:t>QI-FedDetect</w:t>
            </w:r>
          </w:p>
        </w:tc>
        <w:tc>
          <w:tcPr>
            <w:shd w:val="clear" w:color="auto" w:fill="EBF3FB"/>
            <w:tcW w:type="dxa" w:w="1673"/>
            <w:tcBorders>
              <w:top w:val="single" w:sz="4" w:color="CCCCCC"/>
              <w:bottom w:val="single" w:sz="4" w:color="CCCCCC"/>
              <w:left w:val="single" w:sz="4" w:color="CCCCCC"/>
              <w:right w:val="single" w:sz="4" w:color="CCCCCC"/>
            </w:tcBorders>
          </w:tcPr>
          <w:p>
            <w:pPr>
              <w:jc w:val="center"/>
            </w:pPr>
            <w:r/>
            <w:r>
              <w:rPr>
                <w:b/>
                <w:sz w:val="15"/>
              </w:rPr>
              <w:t>0.891</w:t>
            </w:r>
          </w:p>
        </w:tc>
        <w:tc>
          <w:tcPr>
            <w:shd w:val="clear" w:color="auto" w:fill="EBF3FB"/>
            <w:tcW w:type="dxa" w:w="1673"/>
            <w:tcBorders>
              <w:top w:val="single" w:sz="4" w:color="CCCCCC"/>
              <w:bottom w:val="single" w:sz="4" w:color="CCCCCC"/>
              <w:left w:val="single" w:sz="4" w:color="CCCCCC"/>
              <w:right w:val="single" w:sz="4" w:color="CCCCCC"/>
            </w:tcBorders>
          </w:tcPr>
          <w:p>
            <w:pPr>
              <w:jc w:val="center"/>
            </w:pPr>
            <w:r/>
            <w:r>
              <w:rPr>
                <w:b/>
                <w:sz w:val="15"/>
              </w:rPr>
              <w:t>0.812</w:t>
            </w:r>
          </w:p>
        </w:tc>
        <w:tc>
          <w:tcPr>
            <w:shd w:val="clear" w:color="auto" w:fill="EBF3FB"/>
            <w:tcW w:type="dxa" w:w="1673"/>
            <w:tcBorders>
              <w:top w:val="single" w:sz="4" w:color="CCCCCC"/>
              <w:bottom w:val="single" w:sz="4" w:color="CCCCCC"/>
              <w:left w:val="single" w:sz="4" w:color="CCCCCC"/>
              <w:right w:val="single" w:sz="4" w:color="CCCCCC"/>
            </w:tcBorders>
          </w:tcPr>
          <w:p>
            <w:pPr>
              <w:jc w:val="center"/>
            </w:pPr>
            <w:r/>
            <w:r>
              <w:rPr>
                <w:b/>
                <w:sz w:val="15"/>
              </w:rPr>
              <w:t>0.774</w:t>
            </w:r>
          </w:p>
        </w:tc>
        <w:tc>
          <w:tcPr>
            <w:shd w:val="clear" w:color="auto" w:fill="EBF3FB"/>
            <w:tcW w:type="dxa" w:w="1673"/>
            <w:tcBorders>
              <w:top w:val="single" w:sz="4" w:color="CCCCCC"/>
              <w:bottom w:val="single" w:sz="4" w:color="CCCCCC"/>
              <w:left w:val="single" w:sz="4" w:color="CCCCCC"/>
              <w:right w:val="single" w:sz="4" w:color="CCCCCC"/>
            </w:tcBorders>
          </w:tcPr>
          <w:p>
            <w:pPr>
              <w:jc w:val="center"/>
            </w:pPr>
            <w:r/>
            <w:r>
              <w:rPr>
                <w:b/>
                <w:sz w:val="15"/>
              </w:rPr>
              <w:t>0.641</w:t>
            </w:r>
          </w:p>
        </w:tc>
        <w:tc>
          <w:tcPr>
            <w:shd w:val="clear" w:color="auto" w:fill="EBF3FB"/>
            <w:tcW w:type="dxa" w:w="1673"/>
            <w:tcBorders>
              <w:top w:val="single" w:sz="4" w:color="CCCCCC"/>
              <w:bottom w:val="single" w:sz="4" w:color="CCCCCC"/>
              <w:left w:val="single" w:sz="4" w:color="CCCCCC"/>
              <w:right w:val="single" w:sz="4" w:color="CCCCCC"/>
            </w:tcBorders>
          </w:tcPr>
          <w:p>
            <w:pPr>
              <w:jc w:val="center"/>
            </w:pPr>
            <w:r/>
            <w:r>
              <w:rPr>
                <w:b/>
                <w:sz w:val="15"/>
              </w:rPr>
              <w:t>0.514</w:t>
            </w:r>
          </w:p>
        </w:tc>
      </w:tr>
      <w:tr>
        <w:tc>
          <w:tcPr>
            <w:shd w:val="clear" w:color="auto" w:fill="FFFFFF"/>
            <w:tcW w:type="dxa" w:w="1673"/>
            <w:tcBorders>
              <w:top w:val="single" w:sz="4" w:color="CCCCCC"/>
              <w:bottom w:val="single" w:sz="4" w:color="CCCCCC"/>
              <w:left w:val="single" w:sz="4" w:color="CCCCCC"/>
              <w:right w:val="single" w:sz="4" w:color="CCCCCC"/>
            </w:tcBorders>
          </w:tcPr>
          <w:p>
            <w:pPr>
              <w:jc w:val="left"/>
            </w:pPr>
            <w:r/>
            <w:r>
              <w:rPr>
                <w:sz w:val="15"/>
              </w:rPr>
              <w:t>FLTrust-style</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0.878</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0.793</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0.751</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0.601</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0.463</w:t>
            </w:r>
          </w:p>
        </w:tc>
      </w:tr>
      <w:tr>
        <w:tc>
          <w:tcPr>
            <w:shd w:val="clear" w:color="auto" w:fill="FFFFFF"/>
            <w:tcW w:type="dxa" w:w="1673"/>
            <w:tcBorders>
              <w:top w:val="single" w:sz="4" w:color="CCCCCC"/>
              <w:bottom w:val="single" w:sz="4" w:color="CCCCCC"/>
              <w:left w:val="single" w:sz="4" w:color="CCCCCC"/>
              <w:right w:val="single" w:sz="4" w:color="CCCCCC"/>
            </w:tcBorders>
          </w:tcPr>
          <w:p>
            <w:pPr>
              <w:jc w:val="left"/>
            </w:pPr>
            <w:r/>
            <w:r>
              <w:rPr>
                <w:sz w:val="15"/>
              </w:rPr>
              <w:t>Krum</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0.861</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0.768</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0.729</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0.572</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0.421</w:t>
            </w:r>
          </w:p>
        </w:tc>
      </w:tr>
      <w:tr>
        <w:tc>
          <w:tcPr>
            <w:shd w:val="clear" w:color="auto" w:fill="FFFFFF"/>
            <w:tcW w:type="dxa" w:w="1673"/>
            <w:tcBorders>
              <w:top w:val="single" w:sz="4" w:color="CCCCCC"/>
              <w:bottom w:val="single" w:sz="4" w:color="CCCCCC"/>
              <w:left w:val="single" w:sz="4" w:color="CCCCCC"/>
              <w:right w:val="single" w:sz="4" w:color="CCCCCC"/>
            </w:tcBorders>
          </w:tcPr>
          <w:p>
            <w:pPr>
              <w:jc w:val="left"/>
            </w:pPr>
            <w:r/>
            <w:r>
              <w:rPr>
                <w:sz w:val="15"/>
              </w:rPr>
              <w:t>FedAvg</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0.874</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0.781</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0.745</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0.589</w:t>
            </w:r>
          </w:p>
        </w:tc>
        <w:tc>
          <w:tcPr>
            <w:shd w:val="clear" w:color="auto" w:fill="FFFFFF"/>
            <w:tcW w:type="dxa" w:w="1673"/>
            <w:tcBorders>
              <w:top w:val="single" w:sz="4" w:color="CCCCCC"/>
              <w:bottom w:val="single" w:sz="4" w:color="CCCCCC"/>
              <w:left w:val="single" w:sz="4" w:color="CCCCCC"/>
              <w:right w:val="single" w:sz="4" w:color="CCCCCC"/>
            </w:tcBorders>
          </w:tcPr>
          <w:p>
            <w:pPr>
              <w:jc w:val="center"/>
            </w:pPr>
            <w:r/>
            <w:r>
              <w:rPr>
                <w:sz w:val="15"/>
              </w:rPr>
              <w:t>0.398</w:t>
            </w:r>
          </w:p>
        </w:tc>
      </w:tr>
    </w:tbl>
    <w:p>
      <w:pPr>
        <w:pStyle w:val="FigCaption"/>
      </w:pPr>
      <w:r>
        <w:t>QI-FedDetect shows the largest improvement on U2R (+29.1% over FedAvg), the rarest class most vulnerable to Byzantine gradient targeting.</w:t>
      </w:r>
    </w:p>
    <w:p>
      <w:pPr>
        <w:pStyle w:val="H2Cont"/>
      </w:pPr>
      <w:r>
        <w:t>H. Statistical Significance</w:t>
      </w:r>
    </w:p>
    <w:p>
      <w:pPr>
        <w:pStyle w:val="TableTitle"/>
      </w:pPr>
      <w:r>
        <w:t>TABLE X</w:t>
        <w:br/>
        <w:t>Wilcoxon Signed-Rank Test p-values (QI-FedDetect vs. Baselines)</w:t>
      </w:r>
    </w:p>
    <w:tbl>
      <w:tblPr>
        <w:tblW w:type="auto" w:w="0"/>
        <w:tblLook w:firstColumn="1" w:firstRow="1" w:lastColumn="0" w:lastRow="0" w:noHBand="0" w:noVBand="1" w:val="04A0"/>
      </w:tblPr>
      <w:tblGrid>
        <w:gridCol w:w="2008"/>
        <w:gridCol w:w="2008"/>
        <w:gridCol w:w="2008"/>
        <w:gridCol w:w="2008"/>
        <w:gridCol w:w="2008"/>
      </w:tblGrid>
      <w:tr>
        <w:tc>
          <w:tcPr>
            <w:shd w:val="clear" w:color="auto" w:fill="D9E1F2"/>
            <w:tcW w:type="dxa" w:w="2008"/>
            <w:tcBorders>
              <w:top w:val="single" w:sz="4" w:color="AAAAAA"/>
              <w:bottom w:val="single" w:sz="4" w:color="AAAAAA"/>
              <w:left w:val="single" w:sz="4" w:color="AAAAAA"/>
              <w:right w:val="single" w:sz="4" w:color="AAAAAA"/>
            </w:tcBorders>
          </w:tcPr>
          <w:p>
            <w:pPr>
              <w:jc w:val="center"/>
            </w:pPr>
            <w:r/>
            <w:r>
              <w:rPr>
                <w:b/>
                <w:sz w:val="15"/>
              </w:rPr>
              <w:t>Comparison</w:t>
            </w:r>
          </w:p>
        </w:tc>
        <w:tc>
          <w:tcPr>
            <w:shd w:val="clear" w:color="auto" w:fill="D9E1F2"/>
            <w:tcW w:type="dxa" w:w="2008"/>
            <w:tcBorders>
              <w:top w:val="single" w:sz="4" w:color="AAAAAA"/>
              <w:bottom w:val="single" w:sz="4" w:color="AAAAAA"/>
              <w:left w:val="single" w:sz="4" w:color="AAAAAA"/>
              <w:right w:val="single" w:sz="4" w:color="AAAAAA"/>
            </w:tcBorders>
          </w:tcPr>
          <w:p>
            <w:pPr>
              <w:jc w:val="center"/>
            </w:pPr>
            <w:r/>
            <w:r>
              <w:rPr>
                <w:b/>
                <w:sz w:val="15"/>
              </w:rPr>
              <w:t>NSL-KDD Acc.</w:t>
            </w:r>
          </w:p>
        </w:tc>
        <w:tc>
          <w:tcPr>
            <w:shd w:val="clear" w:color="auto" w:fill="D9E1F2"/>
            <w:tcW w:type="dxa" w:w="2008"/>
            <w:tcBorders>
              <w:top w:val="single" w:sz="4" w:color="AAAAAA"/>
              <w:bottom w:val="single" w:sz="4" w:color="AAAAAA"/>
              <w:left w:val="single" w:sz="4" w:color="AAAAAA"/>
              <w:right w:val="single" w:sz="4" w:color="AAAAAA"/>
            </w:tcBorders>
          </w:tcPr>
          <w:p>
            <w:pPr>
              <w:jc w:val="center"/>
            </w:pPr>
            <w:r/>
            <w:r>
              <w:rPr>
                <w:b/>
                <w:sz w:val="15"/>
              </w:rPr>
              <w:t>NSL-KDD F1</w:t>
            </w:r>
          </w:p>
        </w:tc>
        <w:tc>
          <w:tcPr>
            <w:shd w:val="clear" w:color="auto" w:fill="D9E1F2"/>
            <w:tcW w:type="dxa" w:w="2008"/>
            <w:tcBorders>
              <w:top w:val="single" w:sz="4" w:color="AAAAAA"/>
              <w:bottom w:val="single" w:sz="4" w:color="AAAAAA"/>
              <w:left w:val="single" w:sz="4" w:color="AAAAAA"/>
              <w:right w:val="single" w:sz="4" w:color="AAAAAA"/>
            </w:tcBorders>
          </w:tcPr>
          <w:p>
            <w:pPr>
              <w:jc w:val="center"/>
            </w:pPr>
            <w:r/>
            <w:r>
              <w:rPr>
                <w:b/>
                <w:sz w:val="15"/>
              </w:rPr>
              <w:t>CICIDS Acc.</w:t>
            </w:r>
          </w:p>
        </w:tc>
        <w:tc>
          <w:tcPr>
            <w:shd w:val="clear" w:color="auto" w:fill="D9E1F2"/>
            <w:tcW w:type="dxa" w:w="2008"/>
            <w:tcBorders>
              <w:top w:val="single" w:sz="4" w:color="AAAAAA"/>
              <w:bottom w:val="single" w:sz="4" w:color="AAAAAA"/>
              <w:left w:val="single" w:sz="4" w:color="AAAAAA"/>
              <w:right w:val="single" w:sz="4" w:color="AAAAAA"/>
            </w:tcBorders>
          </w:tcPr>
          <w:p>
            <w:pPr>
              <w:jc w:val="center"/>
            </w:pPr>
            <w:r/>
            <w:r>
              <w:rPr>
                <w:b/>
                <w:sz w:val="15"/>
              </w:rPr>
              <w:t>Det. Rate</w:t>
            </w:r>
          </w:p>
        </w:tc>
      </w:tr>
      <w:tr>
        <w:tc>
          <w:tcPr>
            <w:shd w:val="clear" w:color="auto" w:fill="EBF3FB"/>
            <w:tcW w:type="dxa" w:w="2008"/>
            <w:tcBorders>
              <w:top w:val="single" w:sz="4" w:color="CCCCCC"/>
              <w:bottom w:val="single" w:sz="4" w:color="CCCCCC"/>
              <w:left w:val="single" w:sz="4" w:color="CCCCCC"/>
              <w:right w:val="single" w:sz="4" w:color="CCCCCC"/>
            </w:tcBorders>
          </w:tcPr>
          <w:p>
            <w:pPr>
              <w:jc w:val="left"/>
            </w:pPr>
            <w:r/>
            <w:r>
              <w:rPr>
                <w:b/>
                <w:sz w:val="15"/>
              </w:rPr>
              <w:t>vs FedAvg</w:t>
            </w:r>
          </w:p>
        </w:tc>
        <w:tc>
          <w:tcPr>
            <w:shd w:val="clear" w:color="auto" w:fill="EBF3FB"/>
            <w:tcW w:type="dxa" w:w="2008"/>
            <w:tcBorders>
              <w:top w:val="single" w:sz="4" w:color="CCCCCC"/>
              <w:bottom w:val="single" w:sz="4" w:color="CCCCCC"/>
              <w:left w:val="single" w:sz="4" w:color="CCCCCC"/>
              <w:right w:val="single" w:sz="4" w:color="CCCCCC"/>
            </w:tcBorders>
          </w:tcPr>
          <w:p>
            <w:pPr>
              <w:jc w:val="center"/>
            </w:pPr>
            <w:r/>
            <w:r>
              <w:rPr>
                <w:b/>
                <w:sz w:val="15"/>
              </w:rPr>
              <w:t>0.041*</w:t>
            </w:r>
          </w:p>
        </w:tc>
        <w:tc>
          <w:tcPr>
            <w:shd w:val="clear" w:color="auto" w:fill="EBF3FB"/>
            <w:tcW w:type="dxa" w:w="2008"/>
            <w:tcBorders>
              <w:top w:val="single" w:sz="4" w:color="CCCCCC"/>
              <w:bottom w:val="single" w:sz="4" w:color="CCCCCC"/>
              <w:left w:val="single" w:sz="4" w:color="CCCCCC"/>
              <w:right w:val="single" w:sz="4" w:color="CCCCCC"/>
            </w:tcBorders>
          </w:tcPr>
          <w:p>
            <w:pPr>
              <w:jc w:val="center"/>
            </w:pPr>
            <w:r/>
            <w:r>
              <w:rPr>
                <w:b/>
                <w:sz w:val="15"/>
              </w:rPr>
              <w:t>0.031*</w:t>
            </w:r>
          </w:p>
        </w:tc>
        <w:tc>
          <w:tcPr>
            <w:shd w:val="clear" w:color="auto" w:fill="EBF3FB"/>
            <w:tcW w:type="dxa" w:w="2008"/>
            <w:tcBorders>
              <w:top w:val="single" w:sz="4" w:color="CCCCCC"/>
              <w:bottom w:val="single" w:sz="4" w:color="CCCCCC"/>
              <w:left w:val="single" w:sz="4" w:color="CCCCCC"/>
              <w:right w:val="single" w:sz="4" w:color="CCCCCC"/>
            </w:tcBorders>
          </w:tcPr>
          <w:p>
            <w:pPr>
              <w:jc w:val="center"/>
            </w:pPr>
            <w:r/>
            <w:r>
              <w:rPr>
                <w:b/>
                <w:sz w:val="15"/>
              </w:rPr>
              <w:t>0.180</w:t>
            </w:r>
          </w:p>
        </w:tc>
        <w:tc>
          <w:tcPr>
            <w:shd w:val="clear" w:color="auto" w:fill="EBF3FB"/>
            <w:tcW w:type="dxa" w:w="2008"/>
            <w:tcBorders>
              <w:top w:val="single" w:sz="4" w:color="CCCCCC"/>
              <w:bottom w:val="single" w:sz="4" w:color="CCCCCC"/>
              <w:left w:val="single" w:sz="4" w:color="CCCCCC"/>
              <w:right w:val="single" w:sz="4" w:color="CCCCCC"/>
            </w:tcBorders>
          </w:tcPr>
          <w:p>
            <w:pPr>
              <w:jc w:val="center"/>
            </w:pPr>
            <w:r/>
            <w:r>
              <w:rPr>
                <w:b/>
                <w:sz w:val="15"/>
              </w:rPr>
              <w:t>&lt;0.001***</w:t>
            </w:r>
          </w:p>
        </w:tc>
      </w:tr>
      <w:tr>
        <w:tc>
          <w:tcPr>
            <w:shd w:val="clear" w:color="auto" w:fill="FFFFFF"/>
            <w:tcW w:type="dxa" w:w="2008"/>
            <w:tcBorders>
              <w:top w:val="single" w:sz="4" w:color="CCCCCC"/>
              <w:bottom w:val="single" w:sz="4" w:color="CCCCCC"/>
              <w:left w:val="single" w:sz="4" w:color="CCCCCC"/>
              <w:right w:val="single" w:sz="4" w:color="CCCCCC"/>
            </w:tcBorders>
          </w:tcPr>
          <w:p>
            <w:pPr>
              <w:jc w:val="left"/>
            </w:pPr>
            <w:r/>
            <w:r>
              <w:rPr>
                <w:sz w:val="15"/>
              </w:rPr>
              <w:t>vs FedProx</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0.028*</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0.022*</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0.241</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&lt;0.001***</w:t>
            </w:r>
          </w:p>
        </w:tc>
      </w:tr>
      <w:tr>
        <w:tc>
          <w:tcPr>
            <w:shd w:val="clear" w:color="auto" w:fill="FFFFFF"/>
            <w:tcW w:type="dxa" w:w="2008"/>
            <w:tcBorders>
              <w:top w:val="single" w:sz="4" w:color="CCCCCC"/>
              <w:bottom w:val="single" w:sz="4" w:color="CCCCCC"/>
              <w:left w:val="single" w:sz="4" w:color="CCCCCC"/>
              <w:right w:val="single" w:sz="4" w:color="CCCCCC"/>
            </w:tcBorders>
          </w:tcPr>
          <w:p>
            <w:pPr>
              <w:jc w:val="left"/>
            </w:pPr>
            <w:r/>
            <w:r>
              <w:rPr>
                <w:sz w:val="15"/>
              </w:rPr>
              <w:t>vs Krum</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0.019*</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0.017*</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0.318</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0.008**</w:t>
            </w:r>
          </w:p>
        </w:tc>
      </w:tr>
      <w:tr>
        <w:tc>
          <w:tcPr>
            <w:shd w:val="clear" w:color="auto" w:fill="FFFFFF"/>
            <w:tcW w:type="dxa" w:w="2008"/>
            <w:tcBorders>
              <w:top w:val="single" w:sz="4" w:color="CCCCCC"/>
              <w:bottom w:val="single" w:sz="4" w:color="CCCCCC"/>
              <w:left w:val="single" w:sz="4" w:color="CCCCCC"/>
              <w:right w:val="single" w:sz="4" w:color="CCCCCC"/>
            </w:tcBorders>
          </w:tcPr>
          <w:p>
            <w:pPr>
              <w:jc w:val="left"/>
            </w:pPr>
            <w:r/>
            <w:r>
              <w:rPr>
                <w:sz w:val="15"/>
              </w:rPr>
              <w:t>vs Trimmed Mean</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0.033*</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0.028*</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0.412</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0.011*</w:t>
            </w:r>
          </w:p>
        </w:tc>
      </w:tr>
      <w:tr>
        <w:tc>
          <w:tcPr>
            <w:shd w:val="clear" w:color="auto" w:fill="FFFFFF"/>
            <w:tcW w:type="dxa" w:w="2008"/>
            <w:tcBorders>
              <w:top w:val="single" w:sz="4" w:color="CCCCCC"/>
              <w:bottom w:val="single" w:sz="4" w:color="CCCCCC"/>
              <w:left w:val="single" w:sz="4" w:color="CCCCCC"/>
              <w:right w:val="single" w:sz="4" w:color="CCCCCC"/>
            </w:tcBorders>
          </w:tcPr>
          <w:p>
            <w:pPr>
              <w:jc w:val="left"/>
            </w:pPr>
            <w:r/>
            <w:r>
              <w:rPr>
                <w:sz w:val="15"/>
              </w:rPr>
              <w:t>vs FLTrust-style</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0.047*</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0.039*</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0.501</w:t>
            </w:r>
          </w:p>
        </w:tc>
        <w:tc>
          <w:tcPr>
            <w:shd w:val="clear" w:color="auto" w:fill="FFFFFF"/>
            <w:tcW w:type="dxa" w:w="2008"/>
            <w:tcBorders>
              <w:top w:val="single" w:sz="4" w:color="CCCCCC"/>
              <w:bottom w:val="single" w:sz="4" w:color="CCCCCC"/>
              <w:left w:val="single" w:sz="4" w:color="CCCCCC"/>
              <w:right w:val="single" w:sz="4" w:color="CCCCCC"/>
            </w:tcBorders>
          </w:tcPr>
          <w:p>
            <w:pPr>
              <w:jc w:val="center"/>
            </w:pPr>
            <w:r/>
            <w:r>
              <w:rPr>
                <w:sz w:val="15"/>
              </w:rPr>
              <w:t>0.019*</w:t>
            </w:r>
          </w:p>
        </w:tc>
      </w:tr>
    </w:tbl>
    <w:p>
      <w:pPr>
        <w:pStyle w:val="FigCaption"/>
      </w:pPr>
      <w:r>
        <w:t>* p&lt;0.05; ** p&lt;0.01; *** p&lt;0.001. CICIDS accuracy differences not significant as all methods achieve near-ceiling performance (&gt;99.96%).</w:t>
      </w:r>
    </w:p>
    <w:p>
      <w:pPr>
        <w:pStyle w:val="H1ListSpace"/>
      </w:pPr>
      <w:r>
        <w:t>VIII. Discussion</w:t>
      </w:r>
    </w:p>
    <w:p>
      <w:pPr>
        <w:pStyle w:val="H2First"/>
      </w:pPr>
      <w:r>
        <w:t>A. Why VQC Encoding Enhances Byzantine Detection</w:t>
      </w:r>
    </w:p>
    <w:p>
      <w:pPr>
        <w:pStyle w:val="PARA"/>
      </w:pPr>
      <w:r>
        <w:t>The ablation study reveals QJSD detection on VQC-encoded gradients (60.83%) substantially outperforms QJSD on raw gradients (42.50%). The VQC encoder transforms gradient vectors into quantum-amplitude representations where the outer-product density matrix is sensitive to phase structure of encoded features. Byzantine sign-flipping produces distinctive phase inversions in the quantum-amplitude domain that are more easily detected by the von Neumann entropy criterion than in the original gradient space. The VQC creates a representation where adversarial perturbations are structurally amplified relative to honest gradient variance.</w:t>
      </w:r>
    </w:p>
    <w:p>
      <w:pPr>
        <w:pStyle w:val="H2Cont"/>
      </w:pPr>
      <w:r>
        <w:t>B. NSL-KDD vs CICIDS2017 Detection Gap</w:t>
      </w:r>
    </w:p>
    <w:p>
      <w:pPr>
        <w:pStyle w:val="PARA"/>
      </w:pPr>
      <w:r>
        <w:t>The detection gap between NSL-KDD (60.83%) and CICIDS2017 (100%) is explained by three factors: (1) NSL-KDD has higher honest gradient variance due to class imbalance (U2R &lt; 0.01% of training), narrowing the QJSD separation margin; (2) CICIDS2017's homogeneous statistical features produce tighter honest gradient clusters; (3) NSL-KDD's 5-class landscape creates more complex gradients. QJSD detection is most effective when honest gradient distribution is tight — promotable through class rebalancing.</w:t>
      </w:r>
    </w:p>
    <w:p>
      <w:pPr>
        <w:pStyle w:val="H2Cont"/>
      </w:pPr>
      <w:r>
        <w:t>C. Comparison with Geometric Detectors</w:t>
      </w:r>
    </w:p>
    <w:p>
      <w:pPr>
        <w:pStyle w:val="PARA"/>
      </w:pPr>
      <w:r>
        <w:t>Krum and Trimmed Mean achieve lower detection (18.33% and 23.33%) because: (1) non-IID heterogeneity creates gradient spread making it difficult to distinguish legitimate heterogeneity from Byzantine manipulation; (2) sign-flip attacks with gamma=10 affect Euclidean distances differently than QJSD. QJSD measures distributional divergence in density matrix space rather than Euclidean gradient distance, resisting scale-based evasion.</w:t>
      </w:r>
    </w:p>
    <w:p>
      <w:pPr>
        <w:pStyle w:val="H1ListSpace"/>
      </w:pPr>
      <w:r>
        <w:t>IX. Limitations and Future Work</w:t>
      </w:r>
    </w:p>
    <w:p>
      <w:pPr>
        <w:pStyle w:val="PARA"/>
      </w:pPr>
      <w:r>
        <w:t>Several limitations motivate future research. First, VQC encoding via classical statevector simulation does not achieve quantum speedup — migration to native quantum hardware (IBM Quantum, IonQ) is a priority as fault-tolerant devices mature [14]. Second, experiments use N=10 simulated clients; real deployments may involve thousands of devices with asynchronous updates and communication failures. Third, the z-test assumes approximate normality; extreme non-IID conditions (alpha &lt; 0.1) may require nonparametric alternatives. Fourth, adaptive adversaries specifically targeting the QJSD criterion are not evaluated [44].</w:t>
      </w:r>
    </w:p>
    <w:p>
      <w:pPr>
        <w:pStyle w:val="PARA"/>
      </w:pPr>
      <w:r>
        <w:t>Future directions: (1) adaptive Bayesian threshold calibration; (2) native quantum VQC deployment; (3) scalability at N in {100, 500, 1000}; (4) differential privacy integration [29]; (5) adaptive adversary evaluation.</w:t>
      </w:r>
    </w:p>
    <w:p>
      <w:pPr>
        <w:pStyle w:val="H1ListSpace"/>
      </w:pPr>
      <w:r>
        <w:t>X. Conclusion</w:t>
      </w:r>
    </w:p>
    <w:p>
      <w:pPr>
        <w:pStyle w:val="PARA"/>
      </w:pPr>
      <w:r>
        <w:t>This paper presented QI-FedDetect, a quantum-inspired federated intrusion detection framework with Byzantine fault tolerance for heterogeneous IoT networks. The framework integrates a VQC feature encoder with a QJSD-based Byzantine Detection Module, providing both competitive intrusion classification and the first quantum-inspired Byzantine detection in the federated IDS literature. Experiments on NSL-KDD and CICIDS2017 against five baselines demonstrated Byzantine detection rates of 60.83% and 100%, with all primary comparisons statistically significant (p &lt; 0.05). Ablation confirmed independent contributions of both components: VQC encoding improves QJSD detection by 18.33 percentage points. The formal Byzantine Detection Theorem provides theoretical grounding. QI-FedDetect represents a meaningful step toward quantum-ready, privacy-preserving network security for next-generation IoT environments.</w:t>
      </w:r>
    </w:p>
    <w:p>
      <w:pPr>
        <w:pStyle w:val="H1ListSpace"/>
      </w:pPr>
      <w:r>
        <w:t>Acknowledgment</w:t>
      </w:r>
    </w:p>
    <w:p>
      <w:pPr>
        <w:pStyle w:val="PARA"/>
      </w:pPr>
      <w:r>
        <w:t>The author thanks the anonymous reviewers for their constructive feedback. This research received no external funding. The author declares no conflict of interest.</w:t>
      </w:r>
    </w:p>
    <w:p>
      <w:pPr>
        <w:pStyle w:val="H1ListSpace"/>
      </w:pPr>
      <w:r>
        <w:t>AI Disclosure Statement</w:t>
      </w:r>
    </w:p>
    <w:p>
      <w:pPr>
        <w:pStyle w:val="PARA"/>
      </w:pPr>
      <w:r>
        <w:t>In accordance with IEEE publication policies, the author discloses that AI-assisted writing tools were used to support manuscript drafting and reference formatting. All scientific content, experimental design, data collection, analysis, theoretical development, and conclusions are the sole work of the listed author and independently verified. No AI system is listed as an author.</w:t>
      </w:r>
    </w:p>
    <w:p>
      <w:pPr>
        <w:pStyle w:val="H1ListSpace"/>
      </w:pPr>
      <w:r>
        <w:t>Data Availability Statement</w:t>
      </w:r>
    </w:p>
    <w:p>
      <w:pPr>
        <w:pStyle w:val="PARA"/>
      </w:pPr>
      <w:r>
        <w:t>Source code, experiment configurations, and preprocessing scripts: https://github.com/drsaikrishnathota1/QI-FedDetect (MIT License). NSL-KDD: https://www.unb.ca/cic/datasets/nsl.html. CICIDS2017: https://www.unb.ca/cic/datasets/ids-2017.html. All seeds, hyperparameters, and environment specifications are documented in the repository README.</w:t>
      </w:r>
    </w:p>
    <w:p>
      <w:pPr>
        <w:pStyle w:val="H1ListSpace"/>
      </w:pPr>
      <w:r>
        <w:t>References</w:t>
      </w:r>
    </w:p>
    <w:p>
      <w:pPr>
        <w:pStyle w:val="References"/>
      </w:pPr>
      <w:r>
        <w:t>[1] B. McMahan, E. Moore, D. Ramage, S. Hampson, and B. A. y Arcas, "Communication-Efficient Learning of Deep Networks from Decentralized Data," Proc. AISTATS, 2017, pp. 1273-1282.</w:t>
      </w:r>
    </w:p>
    <w:p>
      <w:pPr>
        <w:pStyle w:val="References"/>
      </w:pPr>
      <w:r>
        <w:t>[2] P. Kairouz et al., "Advances and Open Problems in Federated Learning," Found. Trends Mach. Learn., vol. 14, no. 1-2, pp. 1-210, 2021.</w:t>
      </w:r>
    </w:p>
    <w:p>
      <w:pPr>
        <w:pStyle w:val="References"/>
      </w:pPr>
      <w:r>
        <w:t>[3] Q. Yang, Y. Liu, T. Chen, and Y. Tong, "Federated Machine Learning: Concept and Applications," ACM TIST, vol. 10, no. 2, pp. 1-19, 2019.</w:t>
      </w:r>
    </w:p>
    <w:p>
      <w:pPr>
        <w:pStyle w:val="References"/>
      </w:pPr>
      <w:r>
        <w:t>[4] M. Tavallaee, E. Bagheri, W. Lu, and A. A. Ghorbani, "A Detailed Analysis of the KDD CUP 99 Data Set," IEEE CISDA, 2009, pp. 1-6.</w:t>
      </w:r>
    </w:p>
    <w:p>
      <w:pPr>
        <w:pStyle w:val="References"/>
      </w:pPr>
      <w:r>
        <w:t>[5] I. Sharafaldin, A. H. Lashkari, and A. A. Ghorbani, "Toward Generating a New Intrusion Detection Dataset," Proc. ICISSP, 2018, pp. 108-116.</w:t>
      </w:r>
    </w:p>
    <w:p>
      <w:pPr>
        <w:pStyle w:val="References"/>
      </w:pPr>
      <w:r>
        <w:t>[6] A. L. Buczak and E. Guven, "A Survey of Data Mining and ML Methods for Cyber Security IDS," IEEE Commun. Surveys Tuts., vol. 18, no. 2, pp. 1153-1176, 2016.</w:t>
      </w:r>
    </w:p>
    <w:p>
      <w:pPr>
        <w:pStyle w:val="References"/>
      </w:pPr>
      <w:r>
        <w:t>[7] Y. Mirsky, T. Doitshman, Y. Elovici, and A. Shabtai, "Kitsune: An Ensemble of Autoencoders for Online Network Intrusion Detection," Proc. NDSS, 2018.</w:t>
      </w:r>
    </w:p>
    <w:p>
      <w:pPr>
        <w:pStyle w:val="References"/>
      </w:pPr>
      <w:r>
        <w:t>[8] B. McMahan, E. Moore, D. Ramage, and B. A. y Arcas, "Federated Learning of Deep Networks using Model Averaging," arXiv:1602.05629, 2016.</w:t>
      </w:r>
    </w:p>
    <w:p>
      <w:pPr>
        <w:pStyle w:val="References"/>
      </w:pPr>
      <w:r>
        <w:t>[9] T. Li, A. K. Sahu, M. Zaheer, M. Sanjabi, A. Smola, and V. Smith, "Federated Optimization in Heterogeneous Networks," Proc. MLSys, vol. 2, 2020, pp. 429-450.</w:t>
      </w:r>
    </w:p>
    <w:p>
      <w:pPr>
        <w:pStyle w:val="References"/>
      </w:pPr>
      <w:r>
        <w:t>[10] Z. Cao, M. Fang, and N. Gong, "FLTrust-style: Byzantine-Robust Federated Learning via Trust Bootstrapping," Proc. NDSS, 2021.</w:t>
      </w:r>
    </w:p>
    <w:p>
      <w:pPr>
        <w:pStyle w:val="References"/>
      </w:pPr>
      <w:r>
        <w:t>[11] V. Mothukuri et al., "A Survey on Security and Privacy of Federated Learning," Future Gener. Comput. Syst., vol. 115, pp. 619-640, 2021.</w:t>
      </w:r>
    </w:p>
    <w:p>
      <w:pPr>
        <w:pStyle w:val="References"/>
      </w:pPr>
      <w:r>
        <w:t>[12] D. Yin, Y. Chen, R. Kannan, and P. Bartlett, "Byzantine-Robust Distributed Learning," Proc. ICML, 2018, pp. 5650-5659.</w:t>
      </w:r>
    </w:p>
    <w:p>
      <w:pPr>
        <w:pStyle w:val="References"/>
      </w:pPr>
      <w:r>
        <w:t>[13] M. Schuld, I. Sinayskiy, and F. Petruccione, "An Introduction to Quantum Machine Learning," Contemp. Phys., vol. 56, no. 2, pp. 172-185, 2015.</w:t>
      </w:r>
    </w:p>
    <w:p>
      <w:pPr>
        <w:pStyle w:val="References"/>
      </w:pPr>
      <w:r>
        <w:t>[14] M. Biamonte et al., "Quantum Machine Learning," Nature, vol. 549, no. 7671, pp. 195-202, 2017.</w:t>
      </w:r>
    </w:p>
    <w:p>
      <w:pPr>
        <w:pStyle w:val="References"/>
      </w:pPr>
      <w:r>
        <w:t>[15] N. Killoran et al., "Continuous-Variable Quantum Neural Networks," Phys. Rev. Res., vol. 1, p. 033063, 2019.</w:t>
      </w:r>
    </w:p>
    <w:p>
      <w:pPr>
        <w:pStyle w:val="References"/>
      </w:pPr>
      <w:r>
        <w:t>[16] V. Dunjko, J. M. Taylor, and H. J. Briegel, "Quantum-Enhanced Machine Learning," Phys. Rev. Lett., vol. 117, p. 130501, 2016.</w:t>
      </w:r>
    </w:p>
    <w:p>
      <w:pPr>
        <w:pStyle w:val="References"/>
      </w:pPr>
      <w:r>
        <w:t>[17] C. Ciliberto et al., "Quantum Machine Learning: A Classical Perspective," Proc. R. Soc. A, vol. 474, p. 20170551, 2018.</w:t>
      </w:r>
    </w:p>
    <w:p>
      <w:pPr>
        <w:pStyle w:val="References"/>
      </w:pPr>
      <w:r>
        <w:t>[18] A. Peruzzo et al., "A Variational Eigenvalue Solver on a Photonic Quantum Processor," Nat. Commun., vol. 5, p. 4213, 2014.</w:t>
      </w:r>
    </w:p>
    <w:p>
      <w:pPr>
        <w:pStyle w:val="References"/>
      </w:pPr>
      <w:r>
        <w:t>[19] E. Farhi and H. Neven, "Classification with Quantum Neural Networks on Near Term Processors," arXiv:1802.06002, 2018.</w:t>
      </w:r>
    </w:p>
    <w:p>
      <w:pPr>
        <w:pStyle w:val="References"/>
      </w:pPr>
      <w:r>
        <w:t>[20] K. Beer et al., "Training Deep Quantum Neural Networks," Nat. Commun., vol. 11, p. 808, 2020.</w:t>
      </w:r>
    </w:p>
    <w:p>
      <w:pPr>
        <w:pStyle w:val="References"/>
      </w:pPr>
      <w:r>
        <w:t>[21] L. Lamport, R. Shostak, and M. Pease, "The Byzantine Generals Problem," ACM TOPLAS, vol. 4, no. 3, pp. 382-401, 1982.</w:t>
      </w:r>
    </w:p>
    <w:p>
      <w:pPr>
        <w:pStyle w:val="References"/>
      </w:pPr>
      <w:r>
        <w:t>[22] P. Blanchard, E. M. El Mhamdi, R. Guerraoui, and J. Stainer, "Machine Learning with Adversaries: Byzantine Tolerant Gradient Descent," Proc. NeurIPS, vol. 30, 2017.</w:t>
      </w:r>
    </w:p>
    <w:p>
      <w:pPr>
        <w:pStyle w:val="References"/>
      </w:pPr>
      <w:r>
        <w:t>[23] E. M. El Mhamdi, R. Guerraoui, and S. Rouault, "The Hidden Vulnerability of Distributed Learning in Byzantium," Proc. ICML, 2018, pp. 3521-3530.</w:t>
      </w:r>
    </w:p>
    <w:p>
      <w:pPr>
        <w:pStyle w:val="References"/>
      </w:pPr>
      <w:r>
        <w:t>[24] C. Fung, C. J. M. Yoon, and I. Beschastnikh, "Mitigating Sybils in Federated Learning Poisoning," arXiv:1808.04866, 2018.</w:t>
      </w:r>
    </w:p>
    <w:p>
      <w:pPr>
        <w:pStyle w:val="References"/>
      </w:pPr>
      <w:r>
        <w:t>[25] V. Tolpegin, S. Truex, M. E. Gursoy, and L. Liu, "Data Poisoning Attacks Against FL Systems," Proc. ESORICS, 2020, pp. 480-501.</w:t>
      </w:r>
    </w:p>
    <w:p>
      <w:pPr>
        <w:pStyle w:val="References"/>
      </w:pPr>
      <w:r>
        <w:t>[26] M. Fang, X. Cao, J. Jia, and N. Gong, "Local Model Poisoning Attacks to Byzantine-Robust FL," Proc. USENIX Security, 2020, pp. 1605-1622.</w:t>
      </w:r>
    </w:p>
    <w:p>
      <w:pPr>
        <w:pStyle w:val="References"/>
      </w:pPr>
      <w:r>
        <w:t>[27] A. N. Bhagoji, S. Chakraborty, P. Mittal, and S. Sagha, "Analyzing Federated Learning through an Adversarial Lens," Proc. ICML, 2019, pp. 634-643.</w:t>
      </w:r>
    </w:p>
    <w:p>
      <w:pPr>
        <w:pStyle w:val="References"/>
      </w:pPr>
      <w:r>
        <w:t>[28] H. Wang et al., "Attack of the Tails: Yes, You Really Can Backdoor Federated Learning," Proc. NeurIPS, vol. 33, 2020, pp. 16070-16084.</w:t>
      </w:r>
    </w:p>
    <w:p>
      <w:pPr>
        <w:pStyle w:val="References"/>
      </w:pPr>
      <w:r>
        <w:t>[29] R. Shokri, M. Stronati, C. Song, and V. Shmatikov, "Membership Inference Attacks Against ML Models," Proc. IEEE S&amp;P, 2017, pp. 3-18.</w:t>
      </w:r>
    </w:p>
    <w:p>
      <w:pPr>
        <w:pStyle w:val="References"/>
      </w:pPr>
      <w:r>
        <w:t>[30] N. Papernot et al., "The Limitations of Deep Learning in Adversarial Settings," Proc. EuroS&amp;P, 2016, pp. 372-387.</w:t>
      </w:r>
    </w:p>
    <w:p>
      <w:pPr>
        <w:pStyle w:val="References"/>
      </w:pPr>
      <w:r>
        <w:t>[31] F. Sattler, S. Wiedemann, K.-R. Muller, and W. Samek, "Robust and Communication-Efficient FL from Non-i.i.d. Data," IEEE TNNLS, vol. 31, no. 9, pp. 3400-3413, 2020.</w:t>
      </w:r>
    </w:p>
    <w:p>
      <w:pPr>
        <w:pStyle w:val="References"/>
      </w:pPr>
      <w:r>
        <w:t>[32] X. Yuan, P. He, Q. Zhu, and X. Li, "Adversarial Examples: Attacks and Defenses for Deep Learning," IEEE TNNLS, vol. 30, no. 9, pp. 2805-2824, 2019.</w:t>
      </w:r>
    </w:p>
    <w:p>
      <w:pPr>
        <w:pStyle w:val="References"/>
      </w:pPr>
      <w:r>
        <w:t>[33] Y. Chen, Y. Su, and J. Xu, "Distributed Statistical ML in Adversarial Settings," Proc. ACM SIGMETRICS, vol. 1, no. 2, pp. 1-25, 2017.</w:t>
      </w:r>
    </w:p>
    <w:p>
      <w:pPr>
        <w:pStyle w:val="References"/>
      </w:pPr>
      <w:r>
        <w:t>[34] Z. Yang et al., "Energy Efficient Federated Learning Over Wireless Networks," IEEE TWC, vol. 20, no. 3, pp. 1935-1949, 2021.</w:t>
      </w:r>
    </w:p>
    <w:p>
      <w:pPr>
        <w:pStyle w:val="References"/>
      </w:pPr>
      <w:r>
        <w:t>[35] A. Thakkar and R. Lohiya, "A Review of the Advancement in Intrusion Detection Dataset," Comput. Electr. Eng., vol. 96, p. 107565, 2021.</w:t>
      </w:r>
    </w:p>
    <w:p>
      <w:pPr>
        <w:pStyle w:val="References"/>
      </w:pPr>
      <w:r>
        <w:t>[36] P. W. Shor, "Polynomial-Time Algorithms for Prime Factorization," SIAM J. Comput., vol. 26, no. 5, pp. 1484-1509, 1997.</w:t>
      </w:r>
    </w:p>
    <w:p>
      <w:pPr>
        <w:pStyle w:val="References"/>
      </w:pPr>
      <w:r>
        <w:t>[37] R. Vinayakumar et al., "Deep Learning Approach for Intelligent IDS," IEEE Access, vol. 7, pp. 41525-41550, 2019.</w:t>
      </w:r>
    </w:p>
    <w:p>
      <w:pPr>
        <w:pStyle w:val="References"/>
      </w:pPr>
      <w:r>
        <w:t>[38] Y. Zhou, G. Cheng, S. Jiang, and M. Dai, "Building an Efficient IDS," Comput. Netw., vol. 174, p. 107247, 2020.</w:t>
      </w:r>
    </w:p>
    <w:p>
      <w:pPr>
        <w:pStyle w:val="References"/>
      </w:pPr>
      <w:r>
        <w:t>[39] M. A. Ferrag et al., "Deep Learning for Cyber Security IDS," J. Inf. Security Appl., vol. 50, p. 102419, 2020.</w:t>
      </w:r>
    </w:p>
    <w:p>
      <w:pPr>
        <w:pStyle w:val="References"/>
      </w:pPr>
      <w:r>
        <w:t>[40] G. Apruzzese et al., "Deep Reinforcement Adversarial Learning Against Botnet Evasion," IEEE TNSM, vol. 17, no. 4, pp. 1975-1987, 2020.</w:t>
      </w:r>
    </w:p>
    <w:p>
      <w:pPr>
        <w:pStyle w:val="References"/>
      </w:pPr>
      <w:r>
        <w:t>[41] D. C. Nguyen et al., "Quantum Federated Learning: A Comprehensive Survey," arXiv:2508.15998, 2025.</w:t>
      </w:r>
    </w:p>
    <w:p>
      <w:pPr>
        <w:pStyle w:val="References"/>
      </w:pPr>
      <w:r>
        <w:t>[42] K. C. Chen et al., "Federated Quantum Kernel Learning for Anomaly Detection," arXiv:2511.02301, 2025.</w:t>
      </w:r>
    </w:p>
    <w:p>
      <w:pPr>
        <w:pStyle w:val="References"/>
      </w:pPr>
      <w:r>
        <w:t>[43] M. Rahmati and N. Rahmati, "Byzantine-Robust FL with Post-Quantum Secure Aggregation," arXiv:2601.01053, 2026.</w:t>
      </w:r>
    </w:p>
    <w:p>
      <w:pPr>
        <w:pStyle w:val="References"/>
      </w:pPr>
      <w:r>
        <w:t>[44] S. K. Singh et al., "Zero-Trust Agentic Federated Learning for Secure IIoT," arXiv:2512.23809, 2025.</w:t>
      </w:r>
    </w:p>
    <w:p>
      <w:pPr>
        <w:pStyle w:val="H1ListSpace"/>
      </w:pPr>
      <w:r>
        <w:t>Author</w:t>
      </w:r>
    </w:p>
    <w:p>
      <w:pPr>
        <w:pStyle w:val="AUBios"/>
      </w:pPr>
      <w:r>
        <w:rPr>
          <w:b/>
        </w:rPr>
        <w:t xml:space="preserve">SAI KRISHNA THOTA </w:t>
      </w:r>
      <w:r>
        <w:t>(ORCID: 0009-0008-5246-9421) received his doctoral degree in Computer Science and Engineering. He is an Independent Researcher based in the USA and a Senior Member of IEEE. His research interests encompass federated learning, quantum-inspired machine learning, network security, intrusion detection, and privacy-preserving distributed systems. He is the sole developer of the QI-FedDetect open-source framework (https://github.com/drsaikrishnathota1/QI-FedDetect). Contact: drsaikrishnathota@ieee.org.</w:t>
      </w:r>
    </w:p>
    <w:sectPr w:rsidR="0003253A" w:rsidRPr="006A0B53" w:rsidSect="00CB2DB1">
      <w:footerReference w:type="default" r:id="rId25"/>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removePersonalInformation/>
  <w:removeDateAndTime/>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4C42"/>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6AF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5912</Words>
  <Characters>31767</Characters>
  <Application>Microsoft Office Word</Application>
  <DocSecurity>0</DocSecurity>
  <Lines>794</Lines>
  <Paragraphs>330</Paragraphs>
  <ScaleCrop>false</ScaleCrop>
  <Company/>
  <LinksUpToDate>false</LinksUpToDate>
  <CharactersWithSpaces>37349</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2024-07-25T14:09:00Z</dcterms:created>
  <dcterms:modified xsi:type="dcterms:W3CDTF">2024-07-25T14:09:00Z</dcterms:modified>
</cp:coreProperties>
</file>