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Highlights</w:t>
      </w:r>
    </w:p>
    <w:p>
      <w:pPr>
        <w:pStyle w:val="ListBullet"/>
        <w:ind w:left="360" w:hanging="216"/>
      </w:pPr>
      <w:r>
        <w:t>RSC-Bench provides a reproducible RF classifier robustness protocol.</w:t>
      </w:r>
    </w:p>
    <w:p>
      <w:pPr>
        <w:pStyle w:val="ListBullet"/>
        <w:ind w:left="360" w:hanging="216"/>
      </w:pPr>
      <w:r>
        <w:t>Full RadioML2016.10A GPU validation covers 220,000 examples.</w:t>
      </w:r>
    </w:p>
    <w:p>
      <w:pPr>
        <w:pStyle w:val="ListBullet"/>
        <w:ind w:left="360" w:hanging="216"/>
      </w:pPr>
      <w:r>
        <w:t>Classical ML, raw-IQ CNN, quantum kernel, and PCA-RBF ablation are compared.</w:t>
      </w:r>
    </w:p>
    <w:p>
      <w:pPr>
        <w:pStyle w:val="ListBullet"/>
        <w:ind w:left="360" w:hanging="216"/>
      </w:pPr>
      <w:r>
        <w:t>Robustness-drop metrics reveal stress-specific model failure modes.</w:t>
      </w:r>
    </w:p>
    <w:p>
      <w:pPr>
        <w:pStyle w:val="ListBullet"/>
        <w:ind w:left="360" w:hanging="216"/>
      </w:pPr>
      <w:r>
        <w:t>Quantum-inspired kernel shows no advantage over same-feature PCA-RBF SVM.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