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svg" ContentType="image/svg+xml"/>
  <Override PartName="/word/media/rId135.svg" ContentType="image/svg+xml"/>
  <Override PartName="/word/media/rId132.svg" ContentType="image/svg+xml"/>
  <Override PartName="/word/media/rId123.svg" ContentType="image/svg+xml"/>
  <Override PartName="/word/media/rId120.svg" ContentType="image/svg+xml"/>
  <Override PartName="/word/media/rId129.svg" ContentType="image/svg+xml"/>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tamper-evident mission provenance. The framework converts communication, navigation, integrity, and mission-progress indicators into mission-level assurance decisions.</w:t>
      </w:r>
    </w:p>
    <w:p>
      <w:pPr>
        <w:pStyle w:val="BodyText"/>
      </w:pPr>
      <w:r>
        <w:t xml:space="preserve">A simulation-based final validation evaluation is conducted using synthetic multi-UAV telemetry data. The physics-informed synthetic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high classification scores should be interpreted as evidence that the controlled physics-informed synthetic telemetry produces strongly separable attack signatures under the assumed simulation conditions. These values should not be interpreted as direct battlefield performance, real-flight deployment readiness, or validation on classified operational data. Therefore, the main contribution of RA-MARS is not classifier accuracy alone, but the integration of temporal attack detection with mission-risk scoring, adaptive mission continuation, RF/SINR-aware mission evaluation, and hash-chain-based tamper-evident mission provenance.</w:t>
      </w:r>
      <w:r>
        <w:t xml:space="preserve"> </w:t>
      </w:r>
      <w:r>
        <w:t xml:space="preserve">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tamper-evident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hash-chain-based tamper-evident mission provenance.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hash-chain-based tamper-evident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tamper-evident mission provenance.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tamper-evident mission provenance,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tamper-evident provenance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tamper-evident provenance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tamper-evident mission provenance.</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tamper-evident provenance,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8"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tamper-evident provenance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qualitative-comparison-with-prior-work"/>
    <w:p>
      <w:pPr>
        <w:pStyle w:val="Heading2"/>
      </w:pPr>
      <w:r>
        <w:t xml:space="preserve">Qualitative Comparison with Prior Work</w:t>
      </w:r>
    </w:p>
    <w:p>
      <w:pPr>
        <w:pStyle w:val="FirstParagraph"/>
      </w:pPr>
      <w:r>
        <w:t xml:space="preserve">Table X summarizes how RA-MARS differs from representative UAV security, anti-jamming, spoofing-resilient navigation, and UAV provenance studies. The comparison is qualitative because the present work uses a controlled synthetic telemetry workflow rather than the same datasets or testbeds used by prior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Study category</w:t>
            </w:r>
          </w:p>
        </w:tc>
        <w:tc>
          <w:tcPr/>
          <w:p>
            <w:pPr>
              <w:pStyle w:val="Compact"/>
            </w:pPr>
            <w:r>
              <w:t xml:space="preserve">Primary focus</w:t>
            </w:r>
          </w:p>
        </w:tc>
        <w:tc>
          <w:tcPr/>
          <w:p>
            <w:pPr>
              <w:pStyle w:val="Compact"/>
            </w:pPr>
            <w:r>
              <w:t xml:space="preserve">Jamming</w:t>
            </w:r>
          </w:p>
        </w:tc>
        <w:tc>
          <w:tcPr/>
          <w:p>
            <w:pPr>
              <w:pStyle w:val="Compact"/>
            </w:pPr>
            <w:r>
              <w:t xml:space="preserve">Spoofing</w:t>
            </w:r>
          </w:p>
        </w:tc>
        <w:tc>
          <w:tcPr/>
          <w:p>
            <w:pPr>
              <w:pStyle w:val="Compact"/>
            </w:pPr>
            <w:r>
              <w:t xml:space="preserve">Data tampering</w:t>
            </w:r>
          </w:p>
        </w:tc>
        <w:tc>
          <w:tcPr/>
          <w:p>
            <w:pPr>
              <w:pStyle w:val="Compact"/>
            </w:pPr>
            <w:r>
              <w:t xml:space="preserve">Mission-level assurance metric</w:t>
            </w:r>
          </w:p>
        </w:tc>
        <w:tc>
          <w:tcPr/>
          <w:p>
            <w:pPr>
              <w:pStyle w:val="Compact"/>
            </w:pPr>
            <w:r>
              <w:t xml:space="preserve">Adaptive continuation</w:t>
            </w:r>
          </w:p>
        </w:tc>
        <w:tc>
          <w:tcPr/>
          <w:p>
            <w:pPr>
              <w:pStyle w:val="Compact"/>
            </w:pPr>
            <w:r>
              <w:t xml:space="preserve">Tamper-evident provenance</w:t>
            </w:r>
          </w:p>
        </w:tc>
      </w:tr>
      <w:tr>
        <w:tc>
          <w:tcPr/>
          <w:p>
            <w:pPr>
              <w:pStyle w:val="Compact"/>
            </w:pPr>
            <w:r>
              <w:t xml:space="preserve">UAV anti-jamming communication studies</w:t>
            </w:r>
          </w:p>
        </w:tc>
        <w:tc>
          <w:tcPr/>
          <w:p>
            <w:pPr>
              <w:pStyle w:val="Compact"/>
            </w:pPr>
            <w:r>
              <w:t xml:space="preserve">Link reliability and communication recovery</w:t>
            </w:r>
          </w:p>
        </w:tc>
        <w:tc>
          <w:tcPr/>
          <w:p>
            <w:pPr>
              <w:pStyle w:val="Compact"/>
            </w:pPr>
            <w:r>
              <w:t xml:space="preserve">Yes</w:t>
            </w:r>
          </w:p>
        </w:tc>
        <w:tc>
          <w:tcPr/>
          <w:p>
            <w:pPr>
              <w:pStyle w:val="Compact"/>
            </w:pPr>
            <w:r>
              <w:t xml:space="preserve">Limited</w:t>
            </w:r>
          </w:p>
        </w:tc>
        <w:tc>
          <w:tcPr/>
          <w:p>
            <w:pPr>
              <w:pStyle w:val="Compact"/>
            </w:pPr>
            <w:r>
              <w:t xml:space="preserve">No</w:t>
            </w:r>
          </w:p>
        </w:tc>
        <w:tc>
          <w:tcPr/>
          <w:p>
            <w:pPr>
              <w:pStyle w:val="Compact"/>
            </w:pPr>
            <w:r>
              <w:t xml:space="preserve">Usually no</w:t>
            </w:r>
          </w:p>
        </w:tc>
        <w:tc>
          <w:tcPr/>
          <w:p>
            <w:pPr>
              <w:pStyle w:val="Compact"/>
            </w:pPr>
            <w:r>
              <w:t xml:space="preserve">Sometimes</w:t>
            </w:r>
          </w:p>
        </w:tc>
        <w:tc>
          <w:tcPr/>
          <w:p>
            <w:pPr>
              <w:pStyle w:val="Compact"/>
            </w:pPr>
            <w:r>
              <w:t xml:space="preserve">No</w:t>
            </w:r>
          </w:p>
        </w:tc>
      </w:tr>
      <w:tr>
        <w:tc>
          <w:tcPr/>
          <w:p>
            <w:pPr>
              <w:pStyle w:val="Compact"/>
            </w:pPr>
            <w:r>
              <w:t xml:space="preserve">UAV GNSS spoofing/navigation studies</w:t>
            </w:r>
          </w:p>
        </w:tc>
        <w:tc>
          <w:tcPr/>
          <w:p>
            <w:pPr>
              <w:pStyle w:val="Compact"/>
            </w:pPr>
            <w:r>
              <w:t xml:space="preserve">Navigation trust and localization resilience</w:t>
            </w:r>
          </w:p>
        </w:tc>
        <w:tc>
          <w:tcPr/>
          <w:p>
            <w:pPr>
              <w:pStyle w:val="Compact"/>
            </w:pPr>
            <w:r>
              <w:t xml:space="preserve">Limited</w:t>
            </w:r>
          </w:p>
        </w:tc>
        <w:tc>
          <w:tcPr/>
          <w:p>
            <w:pPr>
              <w:pStyle w:val="Compact"/>
            </w:pPr>
            <w:r>
              <w:t xml:space="preserve">Yes</w:t>
            </w:r>
          </w:p>
        </w:tc>
        <w:tc>
          <w:tcPr/>
          <w:p>
            <w:pPr>
              <w:pStyle w:val="Compact"/>
            </w:pPr>
            <w:r>
              <w:t xml:space="preserve">No</w:t>
            </w:r>
          </w:p>
        </w:tc>
        <w:tc>
          <w:tcPr/>
          <w:p>
            <w:pPr>
              <w:pStyle w:val="Compact"/>
            </w:pPr>
            <w:r>
              <w:t xml:space="preserve">Usually no</w:t>
            </w:r>
          </w:p>
        </w:tc>
        <w:tc>
          <w:tcPr/>
          <w:p>
            <w:pPr>
              <w:pStyle w:val="Compact"/>
            </w:pPr>
            <w:r>
              <w:t xml:space="preserve">Limited</w:t>
            </w:r>
          </w:p>
        </w:tc>
        <w:tc>
          <w:tcPr/>
          <w:p>
            <w:pPr>
              <w:pStyle w:val="Compact"/>
            </w:pPr>
            <w:r>
              <w:t xml:space="preserve">No</w:t>
            </w:r>
          </w:p>
        </w:tc>
      </w:tr>
      <w:tr>
        <w:tc>
          <w:tcPr/>
          <w:p>
            <w:pPr>
              <w:pStyle w:val="Compact"/>
            </w:pPr>
            <w:r>
              <w:t xml:space="preserve">UAV cyber-intrusion detection studies</w:t>
            </w:r>
          </w:p>
        </w:tc>
        <w:tc>
          <w:tcPr/>
          <w:p>
            <w:pPr>
              <w:pStyle w:val="Compact"/>
            </w:pPr>
            <w:r>
              <w:t xml:space="preserve">Attack classification or anomaly detection</w:t>
            </w:r>
          </w:p>
        </w:tc>
        <w:tc>
          <w:tcPr/>
          <w:p>
            <w:pPr>
              <w:pStyle w:val="Compact"/>
            </w:pPr>
            <w:r>
              <w:t xml:space="preserve">Sometimes</w:t>
            </w:r>
          </w:p>
        </w:tc>
        <w:tc>
          <w:tcPr/>
          <w:p>
            <w:pPr>
              <w:pStyle w:val="Compact"/>
            </w:pPr>
            <w:r>
              <w:t xml:space="preserve">Sometimes</w:t>
            </w:r>
          </w:p>
        </w:tc>
        <w:tc>
          <w:tcPr/>
          <w:p>
            <w:pPr>
              <w:pStyle w:val="Compact"/>
            </w:pPr>
            <w:r>
              <w:t xml:space="preserve">Sometimes</w:t>
            </w:r>
          </w:p>
        </w:tc>
        <w:tc>
          <w:tcPr/>
          <w:p>
            <w:pPr>
              <w:pStyle w:val="Compact"/>
            </w:pPr>
            <w:r>
              <w:t xml:space="preserve">Usually no</w:t>
            </w:r>
          </w:p>
        </w:tc>
        <w:tc>
          <w:tcPr/>
          <w:p>
            <w:pPr>
              <w:pStyle w:val="Compact"/>
            </w:pPr>
            <w:r>
              <w:t xml:space="preserve">No</w:t>
            </w:r>
          </w:p>
        </w:tc>
        <w:tc>
          <w:tcPr/>
          <w:p>
            <w:pPr>
              <w:pStyle w:val="Compact"/>
            </w:pPr>
            <w:r>
              <w:t xml:space="preserve">No</w:t>
            </w:r>
          </w:p>
        </w:tc>
      </w:tr>
      <w:tr>
        <w:tc>
          <w:tcPr/>
          <w:p>
            <w:pPr>
              <w:pStyle w:val="Compact"/>
            </w:pPr>
            <w:r>
              <w:t xml:space="preserve">Blockchain/UAV logging studies</w:t>
            </w:r>
          </w:p>
        </w:tc>
        <w:tc>
          <w:tcPr/>
          <w:p>
            <w:pPr>
              <w:pStyle w:val="Compact"/>
            </w:pPr>
            <w:r>
              <w:t xml:space="preserve">Data integrity, auditability, or authentication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Multi-UAV mission planning studies</w:t>
            </w:r>
          </w:p>
        </w:tc>
        <w:tc>
          <w:tcPr/>
          <w:p>
            <w:pPr>
              <w:pStyle w:val="Compact"/>
            </w:pPr>
            <w:r>
              <w:t xml:space="preserve">Task allocation, route planning, or swarm coordination</w:t>
            </w:r>
          </w:p>
        </w:tc>
        <w:tc>
          <w:tcPr/>
          <w:p>
            <w:pPr>
              <w:pStyle w:val="Compact"/>
            </w:pPr>
            <w:r>
              <w:t xml:space="preserve">Sometimes</w:t>
            </w:r>
          </w:p>
        </w:tc>
        <w:tc>
          <w:tcPr/>
          <w:p>
            <w:pPr>
              <w:pStyle w:val="Compact"/>
            </w:pPr>
            <w:r>
              <w:t xml:space="preserve">Limited</w:t>
            </w:r>
          </w:p>
        </w:tc>
        <w:tc>
          <w:tcPr/>
          <w:p>
            <w:pPr>
              <w:pStyle w:val="Compact"/>
            </w:pPr>
            <w:r>
              <w:t xml:space="preserve">No</w:t>
            </w:r>
          </w:p>
        </w:tc>
        <w:tc>
          <w:tcPr/>
          <w:p>
            <w:pPr>
              <w:pStyle w:val="Compact"/>
            </w:pPr>
            <w:r>
              <w:t xml:space="preserve">Sometimes</w:t>
            </w:r>
          </w:p>
        </w:tc>
        <w:tc>
          <w:tcPr/>
          <w:p>
            <w:pPr>
              <w:pStyle w:val="Compact"/>
            </w:pPr>
            <w:r>
              <w:t xml:space="preserve">Yes</w:t>
            </w:r>
          </w:p>
        </w:tc>
        <w:tc>
          <w:tcPr/>
          <w:p>
            <w:pPr>
              <w:pStyle w:val="Compact"/>
            </w:pPr>
            <w:r>
              <w:t xml:space="preserve">No</w:t>
            </w:r>
          </w:p>
        </w:tc>
      </w:tr>
      <w:tr>
        <w:tc>
          <w:tcPr/>
          <w:p>
            <w:pPr>
              <w:pStyle w:val="Compact"/>
            </w:pPr>
            <w:r>
              <w:t xml:space="preserve">Proposed RA-MARS framework</w:t>
            </w:r>
          </w:p>
        </w:tc>
        <w:tc>
          <w:tcPr/>
          <w:p>
            <w:pPr>
              <w:pStyle w:val="Compact"/>
            </w:pPr>
            <w:r>
              <w:t xml:space="preserve">Cross-layer mission assurance for contested UAV surveillance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This comparison highlights that RA-MARS is designed as a mission-assurance framework rather than a standalone classifier, communication-security module, navigation filter, or logging mechanism. Its novelty lies in connecting attack detection, mission-risk scoring, adaptive continuation, and tamper-evident mission provenance under combined cyber-electromagnetic and navigation threats.</w:t>
      </w:r>
    </w:p>
    <w:bookmarkEnd w:id="45"/>
    <w:bookmarkStart w:id="46"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6"/>
    <w:bookmarkStart w:id="47"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7"/>
    <w:bookmarkEnd w:id="48"/>
    <w:bookmarkStart w:id="67" w:name="methodology"/>
    <w:p>
      <w:pPr>
        <w:pStyle w:val="Heading1"/>
      </w:pPr>
      <w:r>
        <w:t xml:space="preserve">Methodology</w:t>
      </w:r>
    </w:p>
    <w:bookmarkStart w:id="49"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Hash-chain-based tamper-evident mission provenance</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9"/>
    <w:bookmarkStart w:id="50"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50"/>
    <w:bookmarkStart w:id="51"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1"/>
    <w:bookmarkStart w:id="55" w:name="threat-model-1"/>
    <w:p>
      <w:pPr>
        <w:pStyle w:val="Heading2"/>
      </w:pPr>
      <w:r>
        <w:t xml:space="preserve">Threat Model</w:t>
      </w:r>
    </w:p>
    <w:p>
      <w:pPr>
        <w:pStyle w:val="FirstParagraph"/>
      </w:pPr>
      <w:r>
        <w:t xml:space="preserve">RA-MARS considers three major attack types:</w:t>
      </w:r>
    </w:p>
    <w:bookmarkStart w:id="52"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2"/>
    <w:bookmarkStart w:id="53"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3"/>
    <w:bookmarkStart w:id="54"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4"/>
    <w:bookmarkEnd w:id="55"/>
    <w:bookmarkStart w:id="59"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6"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6"/>
    <w:bookmarkStart w:id="57"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7"/>
    <w:bookmarkStart w:id="58"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8"/>
    <w:bookmarkEnd w:id="59"/>
    <w:bookmarkStart w:id="60"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60"/>
    <w:bookmarkStart w:id="61"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1"/>
    <w:bookmarkStart w:id="62" w:name="tamper-resistant-mission-logging-module"/>
    <w:p>
      <w:pPr>
        <w:pStyle w:val="Heading2"/>
      </w:pPr>
      <w:r>
        <w:t xml:space="preserve">Tamper-Resistant Mission Logging Module</w:t>
      </w:r>
    </w:p>
    <w:p>
      <w:pPr>
        <w:pStyle w:val="FirstParagraph"/>
      </w:pPr>
      <w:r>
        <w:t xml:space="preserve">The tamper-evident provenance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2"/>
    <w:bookmarkStart w:id="63"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tamper-evident provenance.</w:t>
      </w:r>
    </w:p>
    <w:p>
      <w:pPr>
        <w:pStyle w:val="Compact"/>
        <w:numPr>
          <w:ilvl w:val="0"/>
          <w:numId w:val="1021"/>
        </w:numPr>
      </w:pPr>
      <w:r>
        <w:t xml:space="preserve">Performance metrics are calculated for evaluation.</w:t>
      </w:r>
    </w:p>
    <w:bookmarkEnd w:id="63"/>
    <w:bookmarkStart w:id="64"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4"/>
    <w:bookmarkStart w:id="65"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5"/>
    <w:bookmarkStart w:id="66"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6"/>
    <w:bookmarkEnd w:id="67"/>
    <w:bookmarkStart w:id="89" w:name="experimental-setup"/>
    <w:p>
      <w:pPr>
        <w:pStyle w:val="Heading1"/>
      </w:pPr>
      <w:r>
        <w:t xml:space="preserve">Experimental Setup</w:t>
      </w:r>
    </w:p>
    <w:bookmarkStart w:id="68"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8"/>
    <w:bookmarkStart w:id="69"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9"/>
    <w:bookmarkStart w:id="70"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0"/>
    <w:bookmarkStart w:id="71"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1"/>
    <w:bookmarkStart w:id="77" w:name="attack-scenarios"/>
    <w:p>
      <w:pPr>
        <w:pStyle w:val="Heading2"/>
      </w:pPr>
      <w:r>
        <w:t xml:space="preserve">Attack Scenarios</w:t>
      </w:r>
    </w:p>
    <w:bookmarkStart w:id="72"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2"/>
    <w:bookmarkStart w:id="73"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3"/>
    <w:bookmarkStart w:id="74"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4"/>
    <w:bookmarkStart w:id="75"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5"/>
    <w:bookmarkStart w:id="76"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6"/>
    <w:bookmarkEnd w:id="77"/>
    <w:bookmarkStart w:id="78"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tamper-evident provenance</w:t>
            </w:r>
          </w:p>
        </w:tc>
      </w:tr>
      <w:tr>
        <w:tc>
          <w:tcPr/>
          <w:p>
            <w:pPr>
              <w:pStyle w:val="Compact"/>
            </w:pPr>
            <w:r>
              <w:t xml:space="preserve">B2: AI-Only Detection System</w:t>
            </w:r>
          </w:p>
        </w:tc>
        <w:tc>
          <w:tcPr/>
          <w:p>
            <w:pPr>
              <w:pStyle w:val="Compact"/>
            </w:pPr>
            <w:r>
              <w:t xml:space="preserve">Uses AI detection but does not include risk scoring, adaptive logic, or tamper-evident provenance</w:t>
            </w:r>
          </w:p>
        </w:tc>
      </w:tr>
      <w:tr>
        <w:tc>
          <w:tcPr/>
          <w:p>
            <w:pPr>
              <w:pStyle w:val="Compact"/>
            </w:pPr>
            <w:r>
              <w:t xml:space="preserve">B3: Logging-Only System</w:t>
            </w:r>
          </w:p>
        </w:tc>
        <w:tc>
          <w:tcPr/>
          <w:p>
            <w:pPr>
              <w:pStyle w:val="Compact"/>
            </w:pPr>
            <w:r>
              <w:t xml:space="preserve">Uses tamper-evident provenance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tamper-evident provenance</w:t>
            </w:r>
          </w:p>
        </w:tc>
      </w:tr>
    </w:tbl>
    <w:bookmarkEnd w:id="78"/>
    <w:bookmarkStart w:id="79"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9"/>
    <w:bookmarkStart w:id="80"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80"/>
    <w:bookmarkStart w:id="81"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1"/>
    <w:bookmarkStart w:id="82"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tamper-evident provenance.</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2"/>
    <w:bookmarkStart w:id="83"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3"/>
    <w:bookmarkStart w:id="84"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behavior under controlled attack scenarios.</w:t>
      </w:r>
    </w:p>
    <w:p>
      <w:pPr>
        <w:pStyle w:val="BodyText"/>
      </w:pPr>
      <w:r>
        <w:t xml:space="preserve">The evaluation is intentionally limited to simulation-generated telemetry. The study does not claim real military flight testing, hardware-in-the-loop validation, classified operational validation, or deployed battlefield performance. Future validation should include hardware-in-the-loop experiments, controlled RF testbed evaluation, real UAV logs where available, and cross-dataset testing against independent UAV cyber-physical security datasets.</w:t>
      </w:r>
      <w:r>
        <w:t xml:space="preserve"> </w:t>
      </w:r>
      <w:r>
        <w:t xml:space="preserve">Real-world flight testing and hardware-in-the-loop validation are left for future work.</w:t>
      </w:r>
    </w:p>
    <w:p>
      <w:pPr>
        <w:pStyle w:val="BodyText"/>
      </w:pPr>
      <w:r>
        <w:t xml:space="preserve">Adversarial robustness testing was limited to the binary attack-versus-normal setting because this stage represents the first mission-assurance trigger for detecting whether a mission is under cyber-physical attack. Fine-grained adversarial robustness across all eight mission-state classes is left for future work.</w:t>
      </w:r>
    </w:p>
    <w:p>
      <w:r>
        <w:pict>
          <v:rect style="width:0;height:1.5pt" o:hralign="center" o:hrstd="t" o:hr="t"/>
        </w:pict>
      </w:r>
    </w:p>
    <w:p>
      <w:r>
        <w:pict>
          <v:rect style="width:0;height:1.5pt" o:hralign="center" o:hrstd="t" o:hr="t"/>
        </w:pict>
      </w:r>
    </w:p>
    <w:bookmarkEnd w:id="84"/>
    <w:bookmarkStart w:id="86" w:name="v4-prior-work-comparison"/>
    <w:p>
      <w:pPr>
        <w:pStyle w:val="Heading2"/>
      </w:pPr>
      <w:r>
        <w:t xml:space="preserve">v4 Prior Work Comparison</w:t>
      </w:r>
    </w:p>
    <w:bookmarkStart w:id="85"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5"/>
    <w:bookmarkEnd w:id="86"/>
    <w:bookmarkStart w:id="87" w:name="section-2"/>
    <w:p>
      <w:pPr>
        <w:pStyle w:val="Heading2"/>
      </w:pPr>
    </w:p>
    <w:bookmarkEnd w:id="87"/>
    <w:bookmarkStart w:id="88"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tamper-evident mission provenance in a single mission-level framework.</w:t>
      </w:r>
    </w:p>
    <w:p>
      <w:r>
        <w:pict>
          <v:rect style="width:0;height:1.5pt" o:hralign="center" o:hrstd="t" o:hr="t"/>
        </w:pict>
      </w:r>
    </w:p>
    <w:bookmarkEnd w:id="88"/>
    <w:bookmarkEnd w:id="89"/>
    <w:bookmarkStart w:id="94"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1" w:name="v4-digital-twin-action-selection-example"/>
    <w:p>
      <w:pPr>
        <w:pStyle w:val="Heading2"/>
      </w:pPr>
      <w:r>
        <w:t xml:space="preserve">v4 Digital Twin Action Selection Example</w:t>
      </w:r>
    </w:p>
    <w:bookmarkStart w:id="90"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90"/>
    <w:bookmarkEnd w:id="91"/>
    <w:bookmarkStart w:id="92" w:name="section-3"/>
    <w:p>
      <w:pPr>
        <w:pStyle w:val="Heading2"/>
      </w:pPr>
    </w:p>
    <w:bookmarkEnd w:id="92"/>
    <w:bookmarkStart w:id="93"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3"/>
    <w:bookmarkEnd w:id="94"/>
    <w:bookmarkStart w:id="100" w:name="v4-results-and-discussion"/>
    <w:p>
      <w:pPr>
        <w:pStyle w:val="Heading1"/>
      </w:pPr>
      <w:r>
        <w:t xml:space="preserve">v4 Results and Discussion</w:t>
      </w:r>
    </w:p>
    <w:bookmarkStart w:id="95"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5"/>
    <w:bookmarkStart w:id="96" w:name="v4-temporal-attack-detection-results"/>
    <w:p>
      <w:pPr>
        <w:pStyle w:val="Heading2"/>
      </w:pPr>
      <w:r>
        <w:t xml:space="preserve">v4 Temporal Attack-Detection Results</w:t>
      </w:r>
    </w:p>
    <w:p>
      <w:pPr>
        <w:pStyle w:val="FirstParagraph"/>
      </w:pPr>
      <w:r>
        <w:t xml:space="preserve">The completed validation evaluation compares binary LSTM/GRU sequence models, fine-grained weighted sequence models, and a 1D-CNN temporal baseline.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6"/>
    <w:bookmarkStart w:id="97"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7"/>
    <w:bookmarkStart w:id="98"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8"/>
    <w:bookmarkStart w:id="99"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9"/>
    <w:bookmarkEnd w:id="100"/>
    <w:bookmarkStart w:id="110" w:name="section-4"/>
    <w:p>
      <w:pPr>
        <w:pStyle w:val="Heading1"/>
      </w:pPr>
    </w:p>
    <w:bookmarkStart w:id="105"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1"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1"/>
    <w:bookmarkStart w:id="102"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2"/>
    <w:bookmarkStart w:id="103"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3"/>
    <w:bookmarkStart w:id="104"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4"/>
    <w:bookmarkEnd w:id="105"/>
    <w:bookmarkStart w:id="106"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6"/>
    <w:bookmarkStart w:id="107"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7"/>
    <w:bookmarkStart w:id="108"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tamper-evident provenance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8"/>
    <w:bookmarkStart w:id="109"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tamper-evident provenance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9"/>
    <w:bookmarkEnd w:id="110"/>
    <w:bookmarkStart w:id="111"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tamper-evident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completed physics-informed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1"/>
    <w:bookmarkStart w:id="112"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2"/>
    <w:bookmarkStart w:id="113"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3"/>
    <w:bookmarkStart w:id="119"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7"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5" name="Picture"/>
            <a:graphic>
              <a:graphicData uri="http://schemas.openxmlformats.org/drawingml/2006/picture">
                <pic:pic>
                  <pic:nvPicPr>
                    <pic:cNvPr descr="../figures/threat-model/final/ra_mars_threat_model.png" id="116" name="Picture"/>
                    <pic:cNvPicPr>
                      <a:picLocks noChangeArrowheads="1" noChangeAspect="1"/>
                    </pic:cNvPicPr>
                  </pic:nvPicPr>
                  <pic:blipFill>
                    <a:blip r:embed="rId11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7"/>
    <w:bookmarkStart w:id="118"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8"/>
    <w:bookmarkEnd w:id="119"/>
    <w:bookmarkStart w:id="138"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1" name="Picture"/>
            <a:graphic>
              <a:graphicData uri="http://schemas.openxmlformats.org/drawingml/2006/picture">
                <pic:pic>
                  <pic:nvPicPr>
                    <pic:cNvPr descr="../figures/graphs/v5/figure_v5_model_f1_comparison.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4" name="Picture"/>
            <a:graphic>
              <a:graphicData uri="http://schemas.openxmlformats.org/drawingml/2006/picture">
                <pic:pic>
                  <pic:nvPicPr>
                    <pic:cNvPr descr="../figures/graphs/v5/figure_v5_mission_success_by_scenario.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7" name="Picture"/>
            <a:graphic>
              <a:graphicData uri="http://schemas.openxmlformats.org/drawingml/2006/picture">
                <pic:pic>
                  <pic:nvPicPr>
                    <pic:cNvPr descr="../figures/graphs/v5/figure_v5_ablation_mission_success.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30" name="Picture"/>
            <a:graphic>
              <a:graphicData uri="http://schemas.openxmlformats.org/drawingml/2006/picture">
                <pic:pic>
                  <pic:nvPicPr>
                    <pic:cNvPr descr="../figures/graphs/v5/figure_v5_rf_sinr_validation.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3" name="Picture"/>
            <a:graphic>
              <a:graphicData uri="http://schemas.openxmlformats.org/drawingml/2006/picture">
                <pic:pic>
                  <pic:nvPicPr>
                    <pic:cNvPr descr="../figures/graphs/v5/figure_v5_detection_delay.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6" name="Picture"/>
            <a:graphic>
              <a:graphicData uri="http://schemas.openxmlformats.org/drawingml/2006/picture">
                <pic:pic>
                  <pic:nvPicPr>
                    <pic:cNvPr descr="../figures/graphs/v5/figure_v5_adversarial_training_robustness.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svg" /><Relationship Type="http://schemas.openxmlformats.org/officeDocument/2006/relationships/image" Id="rId135" Target="media/rId135.svg" /><Relationship Type="http://schemas.openxmlformats.org/officeDocument/2006/relationships/image" Id="rId132" Target="media/rId132.svg" /><Relationship Type="http://schemas.openxmlformats.org/officeDocument/2006/relationships/image" Id="rId123" Target="media/rId123.svg" /><Relationship Type="http://schemas.openxmlformats.org/officeDocument/2006/relationships/image" Id="rId120" Target="media/rId120.svg" /><Relationship Type="http://schemas.openxmlformats.org/officeDocument/2006/relationships/image" Id="rId129" Target="media/rId129.sv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2026-06-08T11:50:42Z</dcterms:created>
  <dcterms:modified xsi:type="dcterms:W3CDTF">2026-06-08T11:50:42Z</dcterms:modified>
</cp:coreProperties>
</file>

<file path=docProps/custom.xml><?xml version="1.0" encoding="utf-8"?>
<Properties xmlns="http://schemas.openxmlformats.org/officeDocument/2006/custom-properties" xmlns:vt="http://schemas.openxmlformats.org/officeDocument/2006/docPropsVTypes"/>
</file>