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svg" ContentType="image/svg+xml"/>
  <Override PartName="/word/media/rId135.svg" ContentType="image/svg+xml"/>
  <Override PartName="/word/media/rId132.svg" ContentType="image/svg+xml"/>
  <Override PartName="/word/media/rId123.svg" ContentType="image/svg+xml"/>
  <Override PartName="/word/media/rId120.svg" ContentType="image/svg+xml"/>
  <Override PartName="/word/media/rId129.svg" ContentType="image/svg+xml"/>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73.61% mission success and a Mission Assurance Index of 0.7012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tamper-evident mission provenance. The framework converts communication, navigation, integrity, and mission-progress indicators into mission-level assurance decisions.</w:t>
      </w:r>
    </w:p>
    <w:p>
      <w:pPr>
        <w:pStyle w:val="BodyText"/>
      </w:pPr>
      <w:r>
        <w:t xml:space="preserve">A simulation-based final validation evaluation is conducted using synthetic multi-UAV telemetry data. The physics-informed synthetic dataset contains 90,000 sampled telemetry rows and 82,875 time-series windows, with 20 telemetry steps per window and 9 raw non-leakage features per step. The classifier excludes derived Mission Assurance Index and component scores from attack-detection inputs to avoid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high classification scores should be interpreted as evidence that the controlled physics-informed synthetic telemetry produces strongly separable attack signatures under the assumed simulation conditions. These values should not be interpreted as direct battlefield performance, real-flight deployment readiness, or validation on classified operational data. Therefore, the main contribution of RA-MARS is not classifier accuracy alone, but the integration of temporal attack detection with mission-risk scoring, adaptive mission continuation, RF/SINR-aware mission evaluation, and hash-chain-based tamper-evident mission provenance.</w:t>
      </w:r>
      <w:r>
        <w:t xml:space="preserve"> </w:t>
      </w:r>
      <w:r>
        <w:t xml:space="preserve">These high classification scores should be interpreted within the controlled synthetic-telemetry setting: the data are simulation-generated, the attack signatures are physics-informed but not collected from real military flight tests, and the primary contribution of RA-MARS is the mission-assurance integration of detection, risk scoring, adaptive continuation, and tamper-evident provenance.</w:t>
      </w:r>
    </w:p>
    <w:p>
      <w:pPr>
        <w:pStyle w:val="BodyText"/>
      </w:pPr>
      <w:r>
        <w:t xml:space="preserve">Mission-level evaluation shows that full RA-MARS achieved a Mission Assurance Index of 0.7012 and a mission success rate of 73.61% under stressed attack scenarios. With PGD-augmented adversarial training, the binary classifier achieved 99.86% clean macro-F1, 99.75% macro-F1 under FGSM at ε=0.01, and 98.31% macro-F1 under PGD at ε=0.05. Ablation analysis confirmed that removing core mission-assurance components reduced mission performance. Latency-budget analysis showed that RA-MARS added only 11.5 ms of framework overhead per telemetry cycle.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tamper-evident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hash-chain-based tamper-evident mission provenance.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hash-chain-based tamper-evident provenance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tamper-evident mission provenance.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tamper-evident mission provenance,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tamper-evident provenance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tamper-evident provenance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tamper-evident mission provenance.</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tamper-evident provenance,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8"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tamper-evident provenance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qualitative-comparison-with-prior-work"/>
    <w:p>
      <w:pPr>
        <w:pStyle w:val="Heading2"/>
      </w:pPr>
      <w:r>
        <w:t xml:space="preserve">Qualitative Comparison with Prior Work</w:t>
      </w:r>
    </w:p>
    <w:p>
      <w:pPr>
        <w:pStyle w:val="FirstParagraph"/>
      </w:pPr>
      <w:r>
        <w:t xml:space="preserve">Table X summarizes how RA-MARS differs from representative UAV security, anti-jamming, spoofing-resilient navigation, and UAV provenance studies. The comparison is qualitative because the present work uses a controlled synthetic telemetry workflow rather than the same datasets or testbeds used by prior studies.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Study category</w:t>
            </w:r>
          </w:p>
        </w:tc>
        <w:tc>
          <w:tcPr/>
          <w:p>
            <w:pPr>
              <w:pStyle w:val="Compact"/>
            </w:pPr>
            <w:r>
              <w:t xml:space="preserve">Primary focus</w:t>
            </w:r>
          </w:p>
        </w:tc>
        <w:tc>
          <w:tcPr/>
          <w:p>
            <w:pPr>
              <w:pStyle w:val="Compact"/>
            </w:pPr>
            <w:r>
              <w:t xml:space="preserve">Jamming</w:t>
            </w:r>
          </w:p>
        </w:tc>
        <w:tc>
          <w:tcPr/>
          <w:p>
            <w:pPr>
              <w:pStyle w:val="Compact"/>
            </w:pPr>
            <w:r>
              <w:t xml:space="preserve">Spoofing</w:t>
            </w:r>
          </w:p>
        </w:tc>
        <w:tc>
          <w:tcPr/>
          <w:p>
            <w:pPr>
              <w:pStyle w:val="Compact"/>
            </w:pPr>
            <w:r>
              <w:t xml:space="preserve">Data tampering</w:t>
            </w:r>
          </w:p>
        </w:tc>
        <w:tc>
          <w:tcPr/>
          <w:p>
            <w:pPr>
              <w:pStyle w:val="Compact"/>
            </w:pPr>
            <w:r>
              <w:t xml:space="preserve">Mission-level assurance metric</w:t>
            </w:r>
          </w:p>
        </w:tc>
        <w:tc>
          <w:tcPr/>
          <w:p>
            <w:pPr>
              <w:pStyle w:val="Compact"/>
            </w:pPr>
            <w:r>
              <w:t xml:space="preserve">Adaptive continuation</w:t>
            </w:r>
          </w:p>
        </w:tc>
        <w:tc>
          <w:tcPr/>
          <w:p>
            <w:pPr>
              <w:pStyle w:val="Compact"/>
            </w:pPr>
            <w:r>
              <w:t xml:space="preserve">Tamper-evident provenance</w:t>
            </w:r>
          </w:p>
        </w:tc>
      </w:tr>
      <w:tr>
        <w:tc>
          <w:tcPr/>
          <w:p>
            <w:pPr>
              <w:pStyle w:val="Compact"/>
            </w:pPr>
            <w:r>
              <w:t xml:space="preserve">UAV anti-jamming communication studies</w:t>
            </w:r>
          </w:p>
        </w:tc>
        <w:tc>
          <w:tcPr/>
          <w:p>
            <w:pPr>
              <w:pStyle w:val="Compact"/>
            </w:pPr>
            <w:r>
              <w:t xml:space="preserve">Link reliability and communication recovery</w:t>
            </w:r>
          </w:p>
        </w:tc>
        <w:tc>
          <w:tcPr/>
          <w:p>
            <w:pPr>
              <w:pStyle w:val="Compact"/>
            </w:pPr>
            <w:r>
              <w:t xml:space="preserve">Yes</w:t>
            </w:r>
          </w:p>
        </w:tc>
        <w:tc>
          <w:tcPr/>
          <w:p>
            <w:pPr>
              <w:pStyle w:val="Compact"/>
            </w:pPr>
            <w:r>
              <w:t xml:space="preserve">Limited</w:t>
            </w:r>
          </w:p>
        </w:tc>
        <w:tc>
          <w:tcPr/>
          <w:p>
            <w:pPr>
              <w:pStyle w:val="Compact"/>
            </w:pPr>
            <w:r>
              <w:t xml:space="preserve">No</w:t>
            </w:r>
          </w:p>
        </w:tc>
        <w:tc>
          <w:tcPr/>
          <w:p>
            <w:pPr>
              <w:pStyle w:val="Compact"/>
            </w:pPr>
            <w:r>
              <w:t xml:space="preserve">Usually no</w:t>
            </w:r>
          </w:p>
        </w:tc>
        <w:tc>
          <w:tcPr/>
          <w:p>
            <w:pPr>
              <w:pStyle w:val="Compact"/>
            </w:pPr>
            <w:r>
              <w:t xml:space="preserve">Sometimes</w:t>
            </w:r>
          </w:p>
        </w:tc>
        <w:tc>
          <w:tcPr/>
          <w:p>
            <w:pPr>
              <w:pStyle w:val="Compact"/>
            </w:pPr>
            <w:r>
              <w:t xml:space="preserve">No</w:t>
            </w:r>
          </w:p>
        </w:tc>
      </w:tr>
      <w:tr>
        <w:tc>
          <w:tcPr/>
          <w:p>
            <w:pPr>
              <w:pStyle w:val="Compact"/>
            </w:pPr>
            <w:r>
              <w:t xml:space="preserve">UAV GNSS spoofing/navigation studies</w:t>
            </w:r>
          </w:p>
        </w:tc>
        <w:tc>
          <w:tcPr/>
          <w:p>
            <w:pPr>
              <w:pStyle w:val="Compact"/>
            </w:pPr>
            <w:r>
              <w:t xml:space="preserve">Navigation trust and localization resilience</w:t>
            </w:r>
          </w:p>
        </w:tc>
        <w:tc>
          <w:tcPr/>
          <w:p>
            <w:pPr>
              <w:pStyle w:val="Compact"/>
            </w:pPr>
            <w:r>
              <w:t xml:space="preserve">Limited</w:t>
            </w:r>
          </w:p>
        </w:tc>
        <w:tc>
          <w:tcPr/>
          <w:p>
            <w:pPr>
              <w:pStyle w:val="Compact"/>
            </w:pPr>
            <w:r>
              <w:t xml:space="preserve">Yes</w:t>
            </w:r>
          </w:p>
        </w:tc>
        <w:tc>
          <w:tcPr/>
          <w:p>
            <w:pPr>
              <w:pStyle w:val="Compact"/>
            </w:pPr>
            <w:r>
              <w:t xml:space="preserve">No</w:t>
            </w:r>
          </w:p>
        </w:tc>
        <w:tc>
          <w:tcPr/>
          <w:p>
            <w:pPr>
              <w:pStyle w:val="Compact"/>
            </w:pPr>
            <w:r>
              <w:t xml:space="preserve">Usually no</w:t>
            </w:r>
          </w:p>
        </w:tc>
        <w:tc>
          <w:tcPr/>
          <w:p>
            <w:pPr>
              <w:pStyle w:val="Compact"/>
            </w:pPr>
            <w:r>
              <w:t xml:space="preserve">Limited</w:t>
            </w:r>
          </w:p>
        </w:tc>
        <w:tc>
          <w:tcPr/>
          <w:p>
            <w:pPr>
              <w:pStyle w:val="Compact"/>
            </w:pPr>
            <w:r>
              <w:t xml:space="preserve">No</w:t>
            </w:r>
          </w:p>
        </w:tc>
      </w:tr>
      <w:tr>
        <w:tc>
          <w:tcPr/>
          <w:p>
            <w:pPr>
              <w:pStyle w:val="Compact"/>
            </w:pPr>
            <w:r>
              <w:t xml:space="preserve">UAV cyber-intrusion detection studies</w:t>
            </w:r>
          </w:p>
        </w:tc>
        <w:tc>
          <w:tcPr/>
          <w:p>
            <w:pPr>
              <w:pStyle w:val="Compact"/>
            </w:pPr>
            <w:r>
              <w:t xml:space="preserve">Attack classification or anomaly detection</w:t>
            </w:r>
          </w:p>
        </w:tc>
        <w:tc>
          <w:tcPr/>
          <w:p>
            <w:pPr>
              <w:pStyle w:val="Compact"/>
            </w:pPr>
            <w:r>
              <w:t xml:space="preserve">Sometimes</w:t>
            </w:r>
          </w:p>
        </w:tc>
        <w:tc>
          <w:tcPr/>
          <w:p>
            <w:pPr>
              <w:pStyle w:val="Compact"/>
            </w:pPr>
            <w:r>
              <w:t xml:space="preserve">Sometimes</w:t>
            </w:r>
          </w:p>
        </w:tc>
        <w:tc>
          <w:tcPr/>
          <w:p>
            <w:pPr>
              <w:pStyle w:val="Compact"/>
            </w:pPr>
            <w:r>
              <w:t xml:space="preserve">Sometimes</w:t>
            </w:r>
          </w:p>
        </w:tc>
        <w:tc>
          <w:tcPr/>
          <w:p>
            <w:pPr>
              <w:pStyle w:val="Compact"/>
            </w:pPr>
            <w:r>
              <w:t xml:space="preserve">Usually no</w:t>
            </w:r>
          </w:p>
        </w:tc>
        <w:tc>
          <w:tcPr/>
          <w:p>
            <w:pPr>
              <w:pStyle w:val="Compact"/>
            </w:pPr>
            <w:r>
              <w:t xml:space="preserve">No</w:t>
            </w:r>
          </w:p>
        </w:tc>
        <w:tc>
          <w:tcPr/>
          <w:p>
            <w:pPr>
              <w:pStyle w:val="Compact"/>
            </w:pPr>
            <w:r>
              <w:t xml:space="preserve">No</w:t>
            </w:r>
          </w:p>
        </w:tc>
      </w:tr>
      <w:tr>
        <w:tc>
          <w:tcPr/>
          <w:p>
            <w:pPr>
              <w:pStyle w:val="Compact"/>
            </w:pPr>
            <w:r>
              <w:t xml:space="preserve">Blockchain/UAV logging studies</w:t>
            </w:r>
          </w:p>
        </w:tc>
        <w:tc>
          <w:tcPr/>
          <w:p>
            <w:pPr>
              <w:pStyle w:val="Compact"/>
            </w:pPr>
            <w:r>
              <w:t xml:space="preserve">Data integrity, auditability, or authentication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Multi-UAV mission planning studies</w:t>
            </w:r>
          </w:p>
        </w:tc>
        <w:tc>
          <w:tcPr/>
          <w:p>
            <w:pPr>
              <w:pStyle w:val="Compact"/>
            </w:pPr>
            <w:r>
              <w:t xml:space="preserve">Task allocation, route planning, or swarm coordination</w:t>
            </w:r>
          </w:p>
        </w:tc>
        <w:tc>
          <w:tcPr/>
          <w:p>
            <w:pPr>
              <w:pStyle w:val="Compact"/>
            </w:pPr>
            <w:r>
              <w:t xml:space="preserve">Sometimes</w:t>
            </w:r>
          </w:p>
        </w:tc>
        <w:tc>
          <w:tcPr/>
          <w:p>
            <w:pPr>
              <w:pStyle w:val="Compact"/>
            </w:pPr>
            <w:r>
              <w:t xml:space="preserve">Limited</w:t>
            </w:r>
          </w:p>
        </w:tc>
        <w:tc>
          <w:tcPr/>
          <w:p>
            <w:pPr>
              <w:pStyle w:val="Compact"/>
            </w:pPr>
            <w:r>
              <w:t xml:space="preserve">No</w:t>
            </w:r>
          </w:p>
        </w:tc>
        <w:tc>
          <w:tcPr/>
          <w:p>
            <w:pPr>
              <w:pStyle w:val="Compact"/>
            </w:pPr>
            <w:r>
              <w:t xml:space="preserve">Sometimes</w:t>
            </w:r>
          </w:p>
        </w:tc>
        <w:tc>
          <w:tcPr/>
          <w:p>
            <w:pPr>
              <w:pStyle w:val="Compact"/>
            </w:pPr>
            <w:r>
              <w:t xml:space="preserve">Yes</w:t>
            </w:r>
          </w:p>
        </w:tc>
        <w:tc>
          <w:tcPr/>
          <w:p>
            <w:pPr>
              <w:pStyle w:val="Compact"/>
            </w:pPr>
            <w:r>
              <w:t xml:space="preserve">No</w:t>
            </w:r>
          </w:p>
        </w:tc>
      </w:tr>
      <w:tr>
        <w:tc>
          <w:tcPr/>
          <w:p>
            <w:pPr>
              <w:pStyle w:val="Compact"/>
            </w:pPr>
            <w:r>
              <w:t xml:space="preserve">Proposed RA-MARS framework</w:t>
            </w:r>
          </w:p>
        </w:tc>
        <w:tc>
          <w:tcPr/>
          <w:p>
            <w:pPr>
              <w:pStyle w:val="Compact"/>
            </w:pPr>
            <w:r>
              <w:t xml:space="preserve">Cross-layer mission assurance for contested UAV surveillance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This comparison highlights that RA-MARS is designed as a mission-assurance framework rather than a standalone classifier, communication-security module, navigation filter, or logging mechanism. Its novelty lies in connecting attack detection, mission-risk scoring, adaptive continuation, and tamper-evident mission provenance under combined cyber-electromagnetic and navigation threats.</w:t>
      </w:r>
    </w:p>
    <w:bookmarkEnd w:id="45"/>
    <w:bookmarkStart w:id="46"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6"/>
    <w:bookmarkStart w:id="47"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7"/>
    <w:bookmarkEnd w:id="48"/>
    <w:bookmarkStart w:id="67" w:name="methodology"/>
    <w:p>
      <w:pPr>
        <w:pStyle w:val="Heading1"/>
      </w:pPr>
      <w:r>
        <w:t xml:space="preserve">Methodology</w:t>
      </w:r>
    </w:p>
    <w:bookmarkStart w:id="49"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Hash-chain-based tamper-evident mission provenance</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9"/>
    <w:bookmarkStart w:id="50"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50"/>
    <w:bookmarkStart w:id="51"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1"/>
    <w:bookmarkStart w:id="55" w:name="threat-model-1"/>
    <w:p>
      <w:pPr>
        <w:pStyle w:val="Heading2"/>
      </w:pPr>
      <w:r>
        <w:t xml:space="preserve">Threat Model</w:t>
      </w:r>
    </w:p>
    <w:p>
      <w:pPr>
        <w:pStyle w:val="FirstParagraph"/>
      </w:pPr>
      <w:r>
        <w:t xml:space="preserve">RA-MARS considers three major attack types:</w:t>
      </w:r>
    </w:p>
    <w:bookmarkStart w:id="52"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2"/>
    <w:bookmarkStart w:id="53"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3"/>
    <w:bookmarkStart w:id="54"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4"/>
    <w:bookmarkEnd w:id="55"/>
    <w:bookmarkStart w:id="59"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6"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6"/>
    <w:bookmarkStart w:id="57"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7"/>
    <w:bookmarkStart w:id="58"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8"/>
    <w:bookmarkEnd w:id="59"/>
    <w:bookmarkStart w:id="60"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60"/>
    <w:bookmarkStart w:id="61"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1"/>
    <w:bookmarkStart w:id="62" w:name="tamper-resistant-mission-logging-module"/>
    <w:p>
      <w:pPr>
        <w:pStyle w:val="Heading2"/>
      </w:pPr>
      <w:r>
        <w:t xml:space="preserve">Tamper-Resistant Mission Logging Module</w:t>
      </w:r>
    </w:p>
    <w:p>
      <w:pPr>
        <w:pStyle w:val="FirstParagraph"/>
      </w:pPr>
      <w:r>
        <w:t xml:space="preserve">The tamper-evident provenance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2"/>
    <w:bookmarkStart w:id="63"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tamper-evident provenance.</w:t>
      </w:r>
    </w:p>
    <w:p>
      <w:pPr>
        <w:pStyle w:val="Compact"/>
        <w:numPr>
          <w:ilvl w:val="0"/>
          <w:numId w:val="1021"/>
        </w:numPr>
      </w:pPr>
      <w:r>
        <w:t xml:space="preserve">Performance metrics are calculated for evaluation.</w:t>
      </w:r>
    </w:p>
    <w:bookmarkEnd w:id="63"/>
    <w:bookmarkStart w:id="64"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4"/>
    <w:bookmarkStart w:id="65"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5"/>
    <w:bookmarkStart w:id="66"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6"/>
    <w:bookmarkEnd w:id="67"/>
    <w:bookmarkStart w:id="89" w:name="experimental-setup"/>
    <w:p>
      <w:pPr>
        <w:pStyle w:val="Heading1"/>
      </w:pPr>
      <w:r>
        <w:t xml:space="preserve">Experimental Setup</w:t>
      </w:r>
    </w:p>
    <w:bookmarkStart w:id="68"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8"/>
    <w:bookmarkStart w:id="69"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9"/>
    <w:bookmarkStart w:id="70"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70"/>
    <w:bookmarkStart w:id="71"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1"/>
    <w:bookmarkStart w:id="77" w:name="attack-scenarios"/>
    <w:p>
      <w:pPr>
        <w:pStyle w:val="Heading2"/>
      </w:pPr>
      <w:r>
        <w:t xml:space="preserve">Attack Scenarios</w:t>
      </w:r>
    </w:p>
    <w:bookmarkStart w:id="72"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2"/>
    <w:bookmarkStart w:id="73"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3"/>
    <w:bookmarkStart w:id="74"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4"/>
    <w:bookmarkStart w:id="75"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5"/>
    <w:bookmarkStart w:id="76"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6"/>
    <w:bookmarkEnd w:id="77"/>
    <w:bookmarkStart w:id="78"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tamper-evident provenance</w:t>
            </w:r>
          </w:p>
        </w:tc>
      </w:tr>
      <w:tr>
        <w:tc>
          <w:tcPr/>
          <w:p>
            <w:pPr>
              <w:pStyle w:val="Compact"/>
            </w:pPr>
            <w:r>
              <w:t xml:space="preserve">B2: AI-Only Detection System</w:t>
            </w:r>
          </w:p>
        </w:tc>
        <w:tc>
          <w:tcPr/>
          <w:p>
            <w:pPr>
              <w:pStyle w:val="Compact"/>
            </w:pPr>
            <w:r>
              <w:t xml:space="preserve">Uses AI detection but does not include risk scoring, adaptive logic, or tamper-evident provenance</w:t>
            </w:r>
          </w:p>
        </w:tc>
      </w:tr>
      <w:tr>
        <w:tc>
          <w:tcPr/>
          <w:p>
            <w:pPr>
              <w:pStyle w:val="Compact"/>
            </w:pPr>
            <w:r>
              <w:t xml:space="preserve">B3: Logging-Only System</w:t>
            </w:r>
          </w:p>
        </w:tc>
        <w:tc>
          <w:tcPr/>
          <w:p>
            <w:pPr>
              <w:pStyle w:val="Compact"/>
            </w:pPr>
            <w:r>
              <w:t xml:space="preserve">Uses tamper-evident provenance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tamper-evident provenance</w:t>
            </w:r>
          </w:p>
        </w:tc>
      </w:tr>
    </w:tbl>
    <w:bookmarkEnd w:id="78"/>
    <w:bookmarkStart w:id="79"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9"/>
    <w:bookmarkStart w:id="80"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80"/>
    <w:bookmarkStart w:id="81"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1"/>
    <w:bookmarkStart w:id="82"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tamper-evident provenance.</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2"/>
    <w:bookmarkStart w:id="83"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3"/>
    <w:bookmarkStart w:id="84"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behavior under controlled attack scenarios.</w:t>
      </w:r>
    </w:p>
    <w:p>
      <w:pPr>
        <w:pStyle w:val="BodyText"/>
      </w:pPr>
      <w:r>
        <w:t xml:space="preserve">The evaluation is intentionally limited to simulation-generated telemetry. The study does not claim real military flight testing, hardware-in-the-loop validation, classified operational validation, or deployed battlefield performance. Future validation should include hardware-in-the-loop experiments, controlled RF testbed evaluation, real UAV logs where available, and cross-dataset testing against independent UAV cyber-physical security datasets.</w:t>
      </w:r>
    </w:p>
    <w:p>
      <w:pPr>
        <w:pStyle w:val="BodyText"/>
      </w:pPr>
      <w:r>
        <w:t xml:space="preserve">A further limitation is that the current synthetic telemetry distribution may not capture all domain shifts found in real UAV operations, including sensor drift, multipath propagation, weather-dependent RF attenuation, adversarial adaptation, pilot/operator behavior, platform-specific autopilot dynamics, and unmodeled failure modes. Future work should therefore evaluate RA-MARS under cross-domain testing, independent synthetic generators, real flight logs where available, and controlled hardware-in-the-loop RF experiments.</w:t>
      </w:r>
      <w:r>
        <w:t xml:space="preserve"> </w:t>
      </w:r>
      <w:r>
        <w:t xml:space="preserve">Real-world flight testing and hardware-in-the-loop validation are left for future work.</w:t>
      </w:r>
    </w:p>
    <w:p>
      <w:pPr>
        <w:pStyle w:val="BodyText"/>
      </w:pPr>
      <w:r>
        <w:t xml:space="preserve">Adversarial robustness testing was limited to the binary attack-versus-normal setting because this stage represents the first mission-assurance trigger for detecting whether a mission is under cyber-physical attack. Fine-grained adversarial robustness across all eight mission-state classes is left for future work.</w:t>
      </w:r>
    </w:p>
    <w:p>
      <w:r>
        <w:pict>
          <v:rect style="width:0;height:1.5pt" o:hralign="center" o:hrstd="t" o:hr="t"/>
        </w:pict>
      </w:r>
    </w:p>
    <w:p>
      <w:r>
        <w:pict>
          <v:rect style="width:0;height:1.5pt" o:hralign="center" o:hrstd="t" o:hr="t"/>
        </w:pict>
      </w:r>
    </w:p>
    <w:bookmarkEnd w:id="84"/>
    <w:bookmarkStart w:id="86" w:name="v4-prior-work-comparison"/>
    <w:p>
      <w:pPr>
        <w:pStyle w:val="Heading2"/>
      </w:pPr>
      <w:r>
        <w:t xml:space="preserve">v4 Prior Work Comparison</w:t>
      </w:r>
    </w:p>
    <w:bookmarkStart w:id="85"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5"/>
    <w:bookmarkEnd w:id="86"/>
    <w:bookmarkStart w:id="87" w:name="section-2"/>
    <w:p>
      <w:pPr>
        <w:pStyle w:val="Heading2"/>
      </w:pPr>
    </w:p>
    <w:bookmarkEnd w:id="87"/>
    <w:bookmarkStart w:id="88"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tamper-evident mission provenance in a single mission-level framework.</w:t>
      </w:r>
    </w:p>
    <w:p>
      <w:r>
        <w:pict>
          <v:rect style="width:0;height:1.5pt" o:hralign="center" o:hrstd="t" o:hr="t"/>
        </w:pict>
      </w:r>
    </w:p>
    <w:bookmarkEnd w:id="88"/>
    <w:bookmarkEnd w:id="89"/>
    <w:bookmarkStart w:id="94"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1" w:name="v4-digital-twin-action-selection-example"/>
    <w:p>
      <w:pPr>
        <w:pStyle w:val="Heading2"/>
      </w:pPr>
      <w:r>
        <w:t xml:space="preserve">v4 Digital Twin Action Selection Example</w:t>
      </w:r>
    </w:p>
    <w:bookmarkStart w:id="90"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90"/>
    <w:bookmarkEnd w:id="91"/>
    <w:bookmarkStart w:id="92" w:name="section-3"/>
    <w:p>
      <w:pPr>
        <w:pStyle w:val="Heading2"/>
      </w:pPr>
    </w:p>
    <w:bookmarkEnd w:id="92"/>
    <w:bookmarkStart w:id="93"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3"/>
    <w:bookmarkEnd w:id="94"/>
    <w:bookmarkStart w:id="100" w:name="v4-results-and-discussion"/>
    <w:p>
      <w:pPr>
        <w:pStyle w:val="Heading1"/>
      </w:pPr>
      <w:r>
        <w:t xml:space="preserve">v4 Results and Discussion</w:t>
      </w:r>
    </w:p>
    <w:bookmarkStart w:id="95"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5"/>
    <w:bookmarkStart w:id="96" w:name="v4-temporal-attack-detection-results"/>
    <w:p>
      <w:pPr>
        <w:pStyle w:val="Heading2"/>
      </w:pPr>
      <w:r>
        <w:t xml:space="preserve">v4 Temporal Attack-Detection Results</w:t>
      </w:r>
    </w:p>
    <w:p>
      <w:pPr>
        <w:pStyle w:val="FirstParagraph"/>
      </w:pPr>
      <w:r>
        <w:t xml:space="preserve">The completed validation evaluation compares binary LSTM/GRU sequence models, fine-grained weighted sequence models, and a 1D-CNN temporal baseline. Classical machine-learning baselines were used during development for sanity checking, but the final reported model-comparison emphasis is placed on temporal deep-learning models because the task is sequence-based. For binary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96"/>
    <w:bookmarkStart w:id="97" w:name="v4-mission-assurance-results"/>
    <w:p>
      <w:pPr>
        <w:pStyle w:val="Heading2"/>
      </w:pPr>
      <w:r>
        <w:t xml:space="preserve">v4 Mission Assurance Results</w:t>
      </w:r>
    </w:p>
    <w:p>
      <w:pPr>
        <w:pStyle w:val="FirstParagraph"/>
      </w:pPr>
      <w:r>
        <w:t xml:space="preserve">Full RA-MARS achieved a Mission Assurance Index of 0.7012 and a mission success rate of 73.61%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7"/>
    <w:bookmarkStart w:id="98"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8"/>
    <w:bookmarkStart w:id="99"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99"/>
    <w:bookmarkEnd w:id="100"/>
    <w:bookmarkStart w:id="110" w:name="section-4"/>
    <w:p>
      <w:pPr>
        <w:pStyle w:val="Heading1"/>
      </w:pPr>
    </w:p>
    <w:bookmarkStart w:id="105"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1"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1"/>
    <w:bookmarkStart w:id="102"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2"/>
    <w:bookmarkStart w:id="103"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3"/>
    <w:bookmarkStart w:id="104"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4"/>
    <w:bookmarkEnd w:id="105"/>
    <w:bookmarkStart w:id="106"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v4 simulation</w:t>
            </w:r>
          </w:p>
        </w:tc>
        <w:tc>
          <w:tcPr/>
          <w:p>
            <w:pPr>
              <w:pStyle w:val="Compact"/>
            </w:pPr>
            <w:r>
              <w:t xml:space="preserve">90,000 sampled multi-UAV telemetry rows and 82,875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6"/>
    <w:bookmarkStart w:id="107"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7"/>
    <w:bookmarkStart w:id="108"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tamper-evident provenance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8"/>
    <w:bookmarkStart w:id="109"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tamper-evident provenance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9"/>
    <w:bookmarkEnd w:id="110"/>
    <w:bookmarkStart w:id="111"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reported results should be interpreted as controlled simulation evidence of framework behavior rather than proof of deployed battlefield effectiveness. The framework addresses radio-frequency jamming, GPS/GNSS spoofing, mission-data tampering, and combined attacks by linking temporal attack detection, Mission Assurance Index scoring, digital twin-based action selection, adaptive mission continuation, and tamper-evident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All result figures were generated programmatically from final CSV outputs using reproducible plotting scripts; no generative image model was used to create or modify research-result figures.</w:t>
      </w:r>
    </w:p>
    <w:p>
      <w:pPr>
        <w:pStyle w:val="BodyText"/>
      </w:pPr>
      <w:r>
        <w:t xml:space="preserve">The completed physics-informed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At the mission level, full RA-MARS achieved a Mission Assurance Index of 0.7012 and a mission success rate of 73.61%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1"/>
    <w:bookmarkStart w:id="112"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in the project repository: https://github.com/drsaikrishnathota1/ra-mars-defence-technology.</w:t>
      </w:r>
    </w:p>
    <w:bookmarkEnd w:id="112"/>
    <w:bookmarkStart w:id="113"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is available in the project repository: https://github.com/drsaikrishnathota1/ra-mars-defence-technology.</w:t>
      </w:r>
    </w:p>
    <w:bookmarkEnd w:id="113"/>
    <w:bookmarkStart w:id="119"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17" w:name="figures"/>
    <w:p>
      <w:pPr>
        <w:pStyle w:val="Heading2"/>
      </w:pPr>
      <w:r>
        <w:t xml:space="preserve">Figures</w:t>
      </w:r>
    </w:p>
    <w:p>
      <w:pPr>
        <w:pStyle w:val="CaptionedFigure"/>
      </w:pPr>
      <w:r>
        <w:drawing>
          <wp:inline>
            <wp:extent cx="5334000" cy="2872153"/>
            <wp:effectExtent b="0" l="0" r="0" t="0"/>
            <wp:docPr descr="Figure 2. RA-MARS threat model for cyber-electromagnetic and navigation attacks." title="" id="115" name="Picture"/>
            <a:graphic>
              <a:graphicData uri="http://schemas.openxmlformats.org/drawingml/2006/picture">
                <pic:pic>
                  <pic:nvPicPr>
                    <pic:cNvPr descr="../figures/threat-model/final/ra_mars_threat_model.png" id="116" name="Picture"/>
                    <pic:cNvPicPr>
                      <a:picLocks noChangeArrowheads="1" noChangeAspect="1"/>
                    </pic:cNvPicPr>
                  </pic:nvPicPr>
                  <pic:blipFill>
                    <a:blip r:embed="rId114"/>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17"/>
    <w:bookmarkStart w:id="118"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18"/>
    <w:bookmarkEnd w:id="119"/>
    <w:bookmarkStart w:id="138" w:name="v5-figure-links"/>
    <w:p>
      <w:pPr>
        <w:pStyle w:val="Heading1"/>
      </w:pPr>
      <w:r>
        <w:t xml:space="preserve">v5 Figure Links</w:t>
      </w:r>
    </w:p>
    <w:p>
      <w:pPr>
        <w:pStyle w:val="CaptionedFigure"/>
      </w:pPr>
      <w:r>
        <w:drawing>
          <wp:inline>
            <wp:extent cx="5334000" cy="3151909"/>
            <wp:effectExtent b="0" l="0" r="0" t="0"/>
            <wp:docPr descr="Figure 1. RA-MARS v5 model macro-F1 comparison." title="" id="121" name="Picture"/>
            <a:graphic>
              <a:graphicData uri="http://schemas.openxmlformats.org/drawingml/2006/picture">
                <pic:pic>
                  <pic:nvPicPr>
                    <pic:cNvPr descr="../figures/graphs/v5/figure_v5_model_f1_comparison.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RA-MARS v5 model macro-F1 comparison.</w:t>
      </w:r>
    </w:p>
    <w:p>
      <w:pPr>
        <w:pStyle w:val="CaptionedFigure"/>
      </w:pPr>
      <w:r>
        <w:drawing>
          <wp:inline>
            <wp:extent cx="5334000" cy="3151909"/>
            <wp:effectExtent b="0" l="0" r="0" t="0"/>
            <wp:docPr descr="Figure 2. RA-MARS v5 mission success by scenario." title="" id="124" name="Picture"/>
            <a:graphic>
              <a:graphicData uri="http://schemas.openxmlformats.org/drawingml/2006/picture">
                <pic:pic>
                  <pic:nvPicPr>
                    <pic:cNvPr descr="../figures/graphs/v5/figure_v5_mission_success_by_scenario.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2. RA-MARS v5 mission success by scenario.</w:t>
      </w:r>
    </w:p>
    <w:p>
      <w:pPr>
        <w:pStyle w:val="CaptionedFigure"/>
      </w:pPr>
      <w:r>
        <w:drawing>
          <wp:inline>
            <wp:extent cx="5334000" cy="3151909"/>
            <wp:effectExtent b="0" l="0" r="0" t="0"/>
            <wp:docPr descr="Figure 3. RA-MARS v5 ablation study for mission success." title="" id="127" name="Picture"/>
            <a:graphic>
              <a:graphicData uri="http://schemas.openxmlformats.org/drawingml/2006/picture">
                <pic:pic>
                  <pic:nvPicPr>
                    <pic:cNvPr descr="../figures/graphs/v5/figure_v5_ablation_mission_success.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RA-MARS v5 ablation study for mission success.</w:t>
      </w:r>
    </w:p>
    <w:p>
      <w:pPr>
        <w:pStyle w:val="CaptionedFigure"/>
      </w:pPr>
      <w:r>
        <w:drawing>
          <wp:inline>
            <wp:extent cx="5334000" cy="3151909"/>
            <wp:effectExtent b="0" l="0" r="0" t="0"/>
            <wp:docPr descr="Figure 4. RA-MARS v5 RF/SINR validation summary." title="" id="130" name="Picture"/>
            <a:graphic>
              <a:graphicData uri="http://schemas.openxmlformats.org/drawingml/2006/picture">
                <pic:pic>
                  <pic:nvPicPr>
                    <pic:cNvPr descr="../figures/graphs/v5/figure_v5_rf_sinr_validation.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4. RA-MARS v5 RF/SINR validation summary.</w:t>
      </w:r>
    </w:p>
    <w:p>
      <w:pPr>
        <w:pStyle w:val="CaptionedFigure"/>
      </w:pPr>
      <w:r>
        <w:drawing>
          <wp:inline>
            <wp:extent cx="5334000" cy="3151909"/>
            <wp:effectExtent b="0" l="0" r="0" t="0"/>
            <wp:docPr descr="Figure 5. RA-MARS v5 detection-delay analysis." title="" id="133" name="Picture"/>
            <a:graphic>
              <a:graphicData uri="http://schemas.openxmlformats.org/drawingml/2006/picture">
                <pic:pic>
                  <pic:nvPicPr>
                    <pic:cNvPr descr="../figures/graphs/v5/figure_v5_detection_delay.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5. RA-MARS v5 detection-delay analysis.</w:t>
      </w:r>
    </w:p>
    <w:p>
      <w:pPr>
        <w:pStyle w:val="CaptionedFigure"/>
      </w:pPr>
      <w:r>
        <w:drawing>
          <wp:inline>
            <wp:extent cx="5334000" cy="3151909"/>
            <wp:effectExtent b="0" l="0" r="0" t="0"/>
            <wp:docPr descr="Figure 6. RA-MARS v5 adversarial training robustness." title="" id="136" name="Picture"/>
            <a:graphic>
              <a:graphicData uri="http://schemas.openxmlformats.org/drawingml/2006/picture">
                <pic:pic>
                  <pic:nvPicPr>
                    <pic:cNvPr descr="../figures/graphs/v5/figure_v5_adversarial_training_robustness.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6. RA-MARS v5 adversarial training robustness.</w:t>
      </w:r>
    </w:p>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6" Target="media/rId126.svg" /><Relationship Type="http://schemas.openxmlformats.org/officeDocument/2006/relationships/image" Id="rId135" Target="media/rId135.svg" /><Relationship Type="http://schemas.openxmlformats.org/officeDocument/2006/relationships/image" Id="rId132" Target="media/rId132.svg" /><Relationship Type="http://schemas.openxmlformats.org/officeDocument/2006/relationships/image" Id="rId123" Target="media/rId123.svg" /><Relationship Type="http://schemas.openxmlformats.org/officeDocument/2006/relationships/image" Id="rId120" Target="media/rId120.svg" /><Relationship Type="http://schemas.openxmlformats.org/officeDocument/2006/relationships/image" Id="rId129" Target="media/rId129.svg" /><Relationship Type="http://schemas.openxmlformats.org/officeDocument/2006/relationships/image" Id="rId114" Target="media/rId1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2026-06-08T12:08:07Z</dcterms:created>
  <dcterms:modified xsi:type="dcterms:W3CDTF">2026-06-08T12:08:07Z</dcterms:modified>
</cp:coreProperties>
</file>

<file path=docProps/custom.xml><?xml version="1.0" encoding="utf-8"?>
<Properties xmlns="http://schemas.openxmlformats.org/officeDocument/2006/custom-properties" xmlns:vt="http://schemas.openxmlformats.org/officeDocument/2006/docPropsVTypes"/>
</file>