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10.png" ContentType="image/png"/>
  <Override PartName="/word/media/rId145.png" ContentType="image/png"/>
  <Override PartName="/word/media/rId136.png" ContentType="image/png"/>
  <Override PartName="/word/media/rId130.png" ContentType="image/png"/>
  <Override PartName="/word/media/rId142.png" ContentType="image/png"/>
  <Override PartName="/word/media/rId139.png" ContentType="image/png"/>
  <Override PartName="/word/media/rId179.png" ContentType="image/png"/>
  <Override PartName="/word/media/rId176.png" ContentType="image/png"/>
  <Override PartName="/word/media/rId173.png" ContentType="image/png"/>
  <Override PartName="/word/media/rId182.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An AI-Driven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an AI-driven cross-layer mission assurance digital twin for multi-UAV defence surveillance.</w:t>
      </w:r>
    </w:p>
    <w:p>
      <w:pPr>
        <w:pStyle w:val="Compact"/>
        <w:numPr>
          <w:ilvl w:val="0"/>
          <w:numId w:val="1001"/>
        </w:numPr>
      </w:pPr>
      <w:r>
        <w:t xml:space="preserve">Introduces a hierarchical two-tier detection architecture: 95.73% macro F1 binary real-time classifier (Tier 1) and 60.07% macro F1 eight-class forensic classifier (Tier 2).</w:t>
      </w:r>
    </w:p>
    <w:p>
      <w:pPr>
        <w:pStyle w:val="Compact"/>
        <w:numPr>
          <w:ilvl w:val="0"/>
          <w:numId w:val="1001"/>
        </w:numPr>
      </w:pPr>
      <w:r>
        <w:t xml:space="preserve">Physics-based Friis RF channel model with SINR-derived PDR replaces parametric jamming models; normal SINR 39.9 dB, high-intensity jammed SINR 26.9 dB.</w:t>
      </w:r>
    </w:p>
    <w:p>
      <w:pPr>
        <w:pStyle w:val="Compact"/>
        <w:numPr>
          <w:ilvl w:val="0"/>
          <w:numId w:val="1001"/>
        </w:numPr>
      </w:pPr>
      <w:r>
        <w:t xml:space="preserve">Formal Mission Assurance Index integrating communication, navigation, integrity, recovery, and energy scores under a Dolev-Yao bounded attacker model.</w:t>
      </w:r>
    </w:p>
    <w:p>
      <w:pPr>
        <w:pStyle w:val="Compact"/>
        <w:numPr>
          <w:ilvl w:val="0"/>
          <w:numId w:val="1001"/>
        </w:numPr>
      </w:pPr>
      <w:r>
        <w:t xml:space="preserve">Includes PX4-style MAVLink telemetry emulation while clearly limiting validation claims.</w:t>
      </w:r>
    </w:p>
    <w:bookmarkEnd w:id="12"/>
    <w:bookmarkEnd w:id="13"/>
    <w:bookmarkStart w:id="15"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95.73% macro F1-score for binary attack detection (Tier 1 real-time) and 60.07% macro F1 for eight-class forensic attribution (Tier 2 post-mission).</w:t>
      </w:r>
    </w:p>
    <w:p>
      <w:pPr>
        <w:pStyle w:val="BodyText"/>
      </w:pPr>
      <w:r>
        <w:t xml:space="preserve">At the mission level, full RA-MARS achieved a Mission Assurance Index of 0.7012 ± 0.0042 and a mission success rate of 73.61 ± 0.87% under stressed attack scenarios. Ablation analysis shows that removing any single core component reduced mission success by up to 24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14" w:name="keywords"/>
    <w:p>
      <w:pPr>
        <w:pStyle w:val="Heading2"/>
      </w:pPr>
      <w:r>
        <w:t xml:space="preserve">Keywords</w:t>
      </w:r>
    </w:p>
    <w:p>
      <w:pPr>
        <w:pStyle w:val="FirstParagraph"/>
      </w:pPr>
      <w:r>
        <w:t xml:space="preserve">Multi-UAV systems; Defence surveillance; Mission assurance; Digital twin; UAV cybersecurity; Cyber-electromagnetic attacks</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intrusion detection, secure communication, task allocation, or data-integrity protection. These studies provide important component-level advances, but they do not fully address the mission-assurance problem faced by defence UAV swarms. In operational surveillance, the key question is not only whether an attack can be detected, but whether the swarm can preserve coverage, recover from degradation, maintain trustworthy mission records, and support command decisions under combined cyber-electromagnetic stress.</w:t>
      </w:r>
    </w:p>
    <w:p>
      <w:pPr>
        <w:pStyle w:val="BodyText"/>
      </w:pPr>
      <w:r>
        <w:t xml:space="preserve">This creates a research gap at the intersection of threat detection, mission recovery, and mission provenance. A UAV swarm may experience communication degradation from jamming while also receiving manipulated navigation data and producing mission logs that are vulnerable to tampering. Evaluating these effects separately can overstate operational resilience because the mission may fail even when the detector reports high accuracy. A defence-oriented UAV system must therefore connect attack detection with mission-risk estimation, adaptive continuation, and trusted post-mission evidence.</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tamper-resistant mission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logging-only, and non-adaptive security baselines using mission success rate, detection accuracy, packet delivery ratio, latency, energy consumption, and tamper-detection performance.</w:t>
      </w:r>
    </w:p>
    <w:p>
      <w:pPr>
        <w:numPr>
          <w:ilvl w:val="0"/>
          <w:numId w:val="1002"/>
        </w:numPr>
      </w:pPr>
      <w:r>
        <w:t xml:space="preserve">A PX4-style MAVLink telemetry emulation case study is included to test whether RA-MARS can process simulator-style UAV telemetry streams while clearly separating this evidence from real PX4/Gazebo SITL, hardware-in-the-loop, or flight-test validation.</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8"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24"/>
    <w:bookmarkStart w:id="25"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tamper-resistant data integrity, digital twins,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building digital twins for platform monitoring,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 under combined cyber-electromagnetic attack conditions. This gap is especially important because component-level metrics such as classification accuracy, packet delivery ratio, latency, or route deviation do not by themselves show whether the surveillance mission can continue, recover, and produce auditable evidence after attack exposure.</w:t>
      </w:r>
    </w:p>
    <w:bookmarkEnd w:id="25"/>
    <w:bookmarkStart w:id="26"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6"/>
    <w:bookmarkStart w:id="27"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task-allocation, digital-twin, or logging problem. By integrating AI-based cyber-physical attack detection with mission-risk scoring, adaptive mission continuation, digital twin action selection, and tamper-resistant mission provenance, RA-MARS provides a unified evaluation framework for secure multi-UAV defence surveillance under jamming, GPS spoofing, data-tampering, and combined attacks.</w:t>
      </w:r>
    </w:p>
    <w:p>
      <w:r>
        <w:pict>
          <v:rect style="width:0;height:1.5pt" o:hralign="center" o:hrstd="t" o:hr="t"/>
        </w:pict>
      </w:r>
    </w:p>
    <w:bookmarkEnd w:id="27"/>
    <w:bookmarkEnd w:id="28"/>
    <w:bookmarkStart w:id="51" w:name="system-model-and-threat-model"/>
    <w:p>
      <w:pPr>
        <w:pStyle w:val="Heading1"/>
      </w:pPr>
      <w:r>
        <w:t xml:space="preserve">System Model and Threat Model</w:t>
      </w:r>
    </w:p>
    <w:bookmarkStart w:id="29"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9"/>
    <w:bookmarkStart w:id="30"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30"/>
    <w:bookmarkStart w:id="31"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1"/>
    <w:bookmarkStart w:id="32"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2"/>
    <w:bookmarkStart w:id="33"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3"/>
    <w:bookmarkStart w:id="34"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4"/>
    <w:bookmarkStart w:id="37"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5"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5"/>
    <w:bookmarkStart w:id="36"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6"/>
    <w:bookmarkEnd w:id="37"/>
    <w:bookmarkStart w:id="40" w:name="gpsgnss-spoofing-attack"/>
    <w:p>
      <w:pPr>
        <w:pStyle w:val="Heading2"/>
      </w:pPr>
      <w:r>
        <w:t xml:space="preserve">GPS/GNSS Spoofing Attack</w:t>
      </w:r>
    </w:p>
    <w:p>
      <w:pPr>
        <w:pStyle w:val="FirstParagraph"/>
      </w:pPr>
      <w:r>
        <w:t xml:space="preserve">GPS/GNSS spoofing targets UAV navigation and positioning trustworthiness.</w:t>
      </w:r>
    </w:p>
    <w:bookmarkStart w:id="38"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8"/>
    <w:bookmarkStart w:id="39"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9"/>
    <w:bookmarkEnd w:id="40"/>
    <w:bookmarkStart w:id="43"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1"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1"/>
    <w:bookmarkStart w:id="42"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2"/>
    <w:bookmarkEnd w:id="43"/>
    <w:bookmarkStart w:id="44"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4"/>
    <w:bookmarkStart w:id="45" w:name="formal-attacker-model"/>
    <w:p>
      <w:pPr>
        <w:pStyle w:val="Heading2"/>
      </w:pPr>
      <w:r>
        <w:t xml:space="preserve">Formal Attacker Model</w:t>
      </w:r>
    </w:p>
    <w:p>
      <w:pPr>
        <w:pStyle w:val="FirstParagraph"/>
      </w:pPr>
      <w:r>
        <w:t xml:space="preserve">RA-MARS adopts a bounded Dolev-Yao attacker model [47] for the cyber-electromagnetic threat environment. The attacker is assumed to have the following capabilities and limitations:</w:t>
      </w:r>
    </w:p>
    <w:p>
      <w:pPr>
        <w:pStyle w:val="BodyText"/>
      </w:pPr>
      <w:r>
        <w:rPr>
          <w:b/>
          <w:bCs/>
        </w:rPr>
        <w:t xml:space="preserve">Attacker capabilities:</w:t>
      </w:r>
      <w:r>
        <w:t xml:space="preserve"> </w:t>
      </w:r>
      <w:r>
        <w:t xml:space="preserve">The attacker can observe all wireless transmissions between UAVs and the GCS within radio range. The attacker can inject arbitrary RF jamming signals with bounded effective radiated power (ERP ≤ 50W in the v4 evaluation). The attacker can generate GPS spoofing signals that override authentic GNSS signals within a bounded geographic area. The attacker can modify telemetry records stored outside cryptographically protected log structures. The attacker may coordinate simultaneous jamming, spoofing, and tampering actions (combined attack scenario).</w:t>
      </w:r>
    </w:p>
    <w:p>
      <w:pPr>
        <w:pStyle w:val="BodyText"/>
      </w:pPr>
      <w:r>
        <w:rPr>
          <w:b/>
          <w:bCs/>
        </w:rPr>
        <w:t xml:space="preserve">Attacker limitations:</w:t>
      </w:r>
      <w:r>
        <w:t xml:space="preserve"> </w:t>
      </w:r>
      <w:r>
        <w:t xml:space="preserve">The attacker cannot break cryptographic primitives (SHA-256 is modelled as a collision-resistant hash function under the random oracle model). The attacker does not have access to the secret seed used to initialise hash-chain generation. The attacker cannot physically intercept or modify on-board flight controller state. The attacker is external to the UAV swarm and cannot compromise UAV firmware. The attacker is computationally bounded and cannot perform exhaustive key-space search.</w:t>
      </w:r>
    </w:p>
    <w:p>
      <w:pPr>
        <w:pStyle w:val="BodyText"/>
      </w:pPr>
      <w:r>
        <w:rPr>
          <w:b/>
          <w:bCs/>
        </w:rPr>
        <w:t xml:space="preserve">Security objectives under this model:</w:t>
      </w:r>
      <w:r>
        <w:t xml:space="preserve"> </w:t>
      </w:r>
      <w:r>
        <w:t xml:space="preserve">RA-MARS aims to achieve (1) attack detection: identify jamming, spoofing, and tampering with high true positive rate; (2) mission continuity: maintain mission progress above a minimum threshold despite active attacks; (3) log integrity: ensure post-mission tamper evidence is detectable with 100% probability under the defined attacker model.</w:t>
      </w:r>
    </w:p>
    <w:bookmarkEnd w:id="45"/>
    <w:bookmarkStart w:id="46"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6"/>
    <w:bookmarkStart w:id="47" w:name="energy-model"/>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Flight mode</w:t>
            </w:r>
          </w:p>
        </w:tc>
        <w:tc>
          <w:tcPr/>
          <w:p>
            <w:pPr>
              <w:pStyle w:val="Compact"/>
            </w:pPr>
            <w:r>
              <w:t xml:space="preserve">Power draw</w:t>
            </w:r>
          </w:p>
        </w:tc>
      </w:tr>
      <w:tr>
        <w:tc>
          <w:tcPr/>
          <w:p>
            <w:pPr>
              <w:pStyle w:val="Compact"/>
            </w:pPr>
            <w:r>
              <w:t xml:space="preserve">Hover</w:t>
            </w:r>
          </w:p>
        </w:tc>
        <w:tc>
          <w:tcPr/>
          <w:p>
            <w:pPr>
              <w:pStyle w:val="Compact"/>
            </w:pPr>
            <w:r>
              <w:t xml:space="preserve">300 W</w:t>
            </w:r>
          </w:p>
        </w:tc>
      </w:tr>
      <w:tr>
        <w:tc>
          <w:tcPr/>
          <w:p>
            <w:pPr>
              <w:pStyle w:val="Compact"/>
            </w:pPr>
            <w:r>
              <w:t xml:space="preserve">Cruise (15 m/s)</w:t>
            </w:r>
          </w:p>
        </w:tc>
        <w:tc>
          <w:tcPr/>
          <w:p>
            <w:pPr>
              <w:pStyle w:val="Compact"/>
            </w:pPr>
            <w:r>
              <w:t xml:space="preserve">180 W</w:t>
            </w:r>
          </w:p>
        </w:tc>
      </w:tr>
      <w:tr>
        <w:tc>
          <w:tcPr/>
          <w:p>
            <w:pPr>
              <w:pStyle w:val="Compact"/>
            </w:pPr>
            <w:r>
              <w:t xml:space="preserve">Companion computer (Jetson Nano class)</w:t>
            </w:r>
          </w:p>
        </w:tc>
        <w:tc>
          <w:tcPr/>
          <w:p>
            <w:pPr>
              <w:pStyle w:val="Compact"/>
            </w:pPr>
            <w:r>
              <w:t xml:space="preserve">10 W</w:t>
            </w:r>
          </w:p>
        </w:tc>
      </w:tr>
      <w:tr>
        <w:tc>
          <w:tcPr/>
          <w:p>
            <w:pPr>
              <w:pStyle w:val="Compact"/>
            </w:pPr>
            <w:r>
              <w:t xml:space="preserve">Communication overhead</w:t>
            </w:r>
          </w:p>
        </w:tc>
        <w:tc>
          <w:tcPr/>
          <w:p>
            <w:pPr>
              <w:pStyle w:val="Compac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47"/>
    <w:bookmarkStart w:id="48" w:name="inter-uav-communication-model"/>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48"/>
    <w:bookmarkStart w:id="49"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9"/>
    <w:bookmarkStart w:id="50"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50"/>
    <w:bookmarkEnd w:id="51"/>
    <w:bookmarkStart w:id="71" w:name="methodology"/>
    <w:p>
      <w:pPr>
        <w:pStyle w:val="Heading1"/>
      </w:pPr>
      <w:r>
        <w:t xml:space="preserve">Methodology</w:t>
      </w:r>
    </w:p>
    <w:bookmarkStart w:id="52"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52"/>
    <w:bookmarkStart w:id="53"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3"/>
    <w:bookmarkStart w:id="54"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4"/>
    <w:bookmarkStart w:id="60"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implements a</w:t>
      </w:r>
      <w:r>
        <w:t xml:space="preserve"> </w:t>
      </w:r>
      <w:r>
        <w:rPr>
          <w:b/>
          <w:bCs/>
        </w:rPr>
        <w:t xml:space="preserve">hierarchical two-tier architecture</w:t>
      </w:r>
      <w:r>
        <w:t xml:space="preserve"> </w:t>
      </w:r>
      <w:r>
        <w:t xml:space="preserve">that separates real-time operational detection from post-mission forensic analysis. This design reflects the different latency, accuracy, and interpretability requirements of each use case in defence surveillance operations.</w:t>
      </w:r>
    </w:p>
    <w:bookmarkStart w:id="55" w:name="X0f38c4911985bf913ec465712bf7eebab64bc31"/>
    <w:p>
      <w:pPr>
        <w:pStyle w:val="Heading3"/>
      </w:pPr>
      <w:r>
        <w:t xml:space="preserve">Tier 1: Binary Real-Time Classifier (Operational)</w:t>
      </w:r>
    </w:p>
    <w:p>
      <w:pPr>
        <w:pStyle w:val="FirstParagraph"/>
      </w:pPr>
      <w:r>
        <w:t xml:space="preserve">The Tier 1 classifier provides a binary attack/normal decision at each telemetry cycle (1 Hz) and directly triggers the Mission Assurance Index update and digital twin action selection. Operational deployment requires high sensitivity to any attack condition — the exact attack type is not needed in real time, only the binary signal that mission integrity is compromised. A binary LSTM classifier with 2-layer architecture (hidden size = 128, dropout = 0.4, focal loss γ = 2) is trained exclusively on the nine non-leakage telemetry features and achieves 95.73% macro F1-score on the held-out test set.</w:t>
      </w:r>
    </w:p>
    <w:p>
      <w:pPr>
        <w:pStyle w:val="BodyText"/>
      </w:pPr>
      <w:r>
        <w:t xml:space="preserve">The Tier 1 output is a binary label b ∈ {0 = normal, 1 = attack} consumed by the Mission Assurance Index and the adaptive continuation logic at each telemetry step.</w:t>
      </w:r>
    </w:p>
    <w:bookmarkEnd w:id="55"/>
    <w:bookmarkStart w:id="56" w:name="X9354e0f8469ee0c8e9034267abbb993cff8d0e3"/>
    <w:p>
      <w:pPr>
        <w:pStyle w:val="Heading3"/>
      </w:pPr>
      <w:r>
        <w:t xml:space="preserve">Tier 2: Fine-Grained Forensic Classifier (Post-Mission)</w:t>
      </w:r>
    </w:p>
    <w:p>
      <w:pPr>
        <w:pStyle w:val="FirstParagraph"/>
      </w:pPr>
      <w:r>
        <w:t xml:space="preserve">The Tier 2 classifier provides 8-class attack-type identification for post-mission incident reporting, threat attribution, and doctrinal review. In defence surveillance operations, forensic analysis of attack type informs rules of engagement, vulnerability patching, and adversary profiling — tasks that do not require real-time latency but benefit from detailed classification. The Tier 2 LSTM achieves 60.07% macro F1-score across eight attack classes: normal, jamming, spoofing, tampering, jamming+spoofing, jamming+tampering, spoofing+tampering, and combined. The lower macro F1 reflects the inherent difficulty of distinguishing composite attack signatures in synthetic telemetry data, and is consistent with published results on multi-class network intrusion detection under class imbalance.</w:t>
      </w:r>
    </w:p>
    <w:p>
      <w:pPr>
        <w:pStyle w:val="BodyText"/>
      </w:pPr>
      <w:r>
        <w:t xml:space="preserve">The Tier 2 classifier operates offline on recorded mission logs after mission completion and does not introduce latency into the real-time control loop.</w:t>
      </w:r>
    </w:p>
    <w:bookmarkEnd w:id="56"/>
    <w:bookmarkStart w:id="57" w:name="hierarchical-integration"/>
    <w:p>
      <w:pPr>
        <w:pStyle w:val="Heading3"/>
      </w:pPr>
      <w:r>
        <w:t xml:space="preserve">Hierarchical Integration</w:t>
      </w:r>
    </w:p>
    <w:p>
      <w:pPr>
        <w:pStyle w:val="FirstParagraph"/>
      </w:pPr>
      <w:r>
        <w:t xml:space="preserve">The two-tier architecture provides complementary coverage: Tier 1 ensures rapid, reliable detection for mission-critical decisions; Tier 2 ensures detailed attribution for post-mission analysis. This separation is operationally motivated — requiring a single classifier to simultaneously achieve real-time binary performance and fine-grained forensic accuracy would impose conflicting optimisation constraints. Published intrusion detection systems for UAV networks similarly adopt hierarchical or multi-stage architectures to balance detection latency against classification granularity [44, 45].</w:t>
      </w:r>
    </w:p>
    <w:bookmarkEnd w:id="57"/>
    <w:bookmarkStart w:id="58" w:name="input-features"/>
    <w:p>
      <w:pPr>
        <w:pStyle w:val="Heading3"/>
      </w:pPr>
      <w:r>
        <w:t xml:space="preserve">Input Features</w:t>
      </w:r>
    </w:p>
    <w:p>
      <w:pPr>
        <w:pStyle w:val="FirstParagraph"/>
      </w:pPr>
      <w:r>
        <w:t xml:space="preserve">Both classifiers share the following nine non-leakage telemetry features, drawn exclusively from raw sensor and communication observations available at the UAV telemetry rate:</w:t>
      </w:r>
    </w:p>
    <w:p>
      <w:pPr>
        <w:pStyle w:val="Compact"/>
        <w:numPr>
          <w:ilvl w:val="0"/>
          <w:numId w:val="1016"/>
        </w:numPr>
      </w:pPr>
      <w:r>
        <w:t xml:space="preserve">Packet loss rate (Friis-derived, SINR-based)</w:t>
      </w:r>
    </w:p>
    <w:p>
      <w:pPr>
        <w:pStyle w:val="Compact"/>
        <w:numPr>
          <w:ilvl w:val="0"/>
          <w:numId w:val="1016"/>
        </w:numPr>
      </w:pPr>
      <w:r>
        <w:t xml:space="preserve">Communication latency (ms)</w:t>
      </w:r>
    </w:p>
    <w:p>
      <w:pPr>
        <w:pStyle w:val="Compact"/>
        <w:numPr>
          <w:ilvl w:val="0"/>
          <w:numId w:val="1016"/>
        </w:numPr>
      </w:pPr>
      <w:r>
        <w:t xml:space="preserve">Route deviation (m)</w:t>
      </w:r>
    </w:p>
    <w:p>
      <w:pPr>
        <w:pStyle w:val="Compact"/>
        <w:numPr>
          <w:ilvl w:val="0"/>
          <w:numId w:val="1016"/>
        </w:numPr>
      </w:pPr>
      <w:r>
        <w:t xml:space="preserve">GPS position jump (m)</w:t>
      </w:r>
    </w:p>
    <w:p>
      <w:pPr>
        <w:pStyle w:val="Compact"/>
        <w:numPr>
          <w:ilvl w:val="0"/>
          <w:numId w:val="1016"/>
        </w:numPr>
      </w:pPr>
      <w:r>
        <w:t xml:space="preserve">Velocity inconsistency</w:t>
      </w:r>
    </w:p>
    <w:p>
      <w:pPr>
        <w:pStyle w:val="Compact"/>
        <w:numPr>
          <w:ilvl w:val="0"/>
          <w:numId w:val="1016"/>
        </w:numPr>
      </w:pPr>
      <w:r>
        <w:t xml:space="preserve">Log integrity status (hash-chain verification)</w:t>
      </w:r>
    </w:p>
    <w:p>
      <w:pPr>
        <w:pStyle w:val="Compact"/>
        <w:numPr>
          <w:ilvl w:val="0"/>
          <w:numId w:val="1016"/>
        </w:numPr>
      </w:pPr>
      <w:r>
        <w:t xml:space="preserve">Energy consumption (normalised)</w:t>
      </w:r>
    </w:p>
    <w:p>
      <w:pPr>
        <w:pStyle w:val="Compact"/>
        <w:numPr>
          <w:ilvl w:val="0"/>
          <w:numId w:val="1016"/>
        </w:numPr>
      </w:pPr>
      <w:r>
        <w:t xml:space="preserve">Zone coverage (%)</w:t>
      </w:r>
    </w:p>
    <w:p>
      <w:pPr>
        <w:pStyle w:val="Compact"/>
        <w:numPr>
          <w:ilvl w:val="0"/>
          <w:numId w:val="1016"/>
        </w:numPr>
      </w:pPr>
      <w:r>
        <w:t xml:space="preserve">Signal-to-interference-plus-noise ratio (dB) — v4 addition</w:t>
      </w:r>
    </w:p>
    <w:p>
      <w:pPr>
        <w:pStyle w:val="FirstParagraph"/>
      </w:pPr>
      <w:r>
        <w:t xml:space="preserve">These features are selected to exclude derived mission-assurance scores, preventing leakage between the detection module and the Mission Assurance Index.</w:t>
      </w:r>
    </w:p>
    <w:bookmarkEnd w:id="58"/>
    <w:bookmarkStart w:id="59" w:name="model-architecture-and-hyperparameters"/>
    <w:p>
      <w:pPr>
        <w:pStyle w:val="Heading3"/>
      </w:pPr>
      <w:r>
        <w:t xml:space="preserve">Model Architecture and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Tier 1 (Binary)</w:t>
            </w:r>
          </w:p>
        </w:tc>
        <w:tc>
          <w:tcPr/>
          <w:p>
            <w:pPr>
              <w:pStyle w:val="Compact"/>
            </w:pPr>
            <w:r>
              <w:t xml:space="preserve">Tier 2 (8-class)</w:t>
            </w:r>
          </w:p>
        </w:tc>
      </w:tr>
      <w:tr>
        <w:tc>
          <w:tcPr/>
          <w:p>
            <w:pPr>
              <w:pStyle w:val="Compact"/>
            </w:pPr>
            <w:r>
              <w:t xml:space="preserve">Architecture</w:t>
            </w:r>
          </w:p>
        </w:tc>
        <w:tc>
          <w:tcPr/>
          <w:p>
            <w:pPr>
              <w:pStyle w:val="Compact"/>
            </w:pPr>
            <w:r>
              <w:t xml:space="preserve">2-layer LSTM</w:t>
            </w:r>
          </w:p>
        </w:tc>
        <w:tc>
          <w:tcPr/>
          <w:p>
            <w:pPr>
              <w:pStyle w:val="Compact"/>
            </w:pPr>
            <w:r>
              <w:t xml:space="preserve">2-layer LSTM</w:t>
            </w:r>
          </w:p>
        </w:tc>
      </w:tr>
      <w:tr>
        <w:tc>
          <w:tcPr/>
          <w:p>
            <w:pPr>
              <w:pStyle w:val="Compact"/>
            </w:pPr>
            <w:r>
              <w:t xml:space="preserve">Hidden units</w:t>
            </w:r>
          </w:p>
        </w:tc>
        <w:tc>
          <w:tcPr/>
          <w:p>
            <w:pPr>
              <w:pStyle w:val="Compact"/>
            </w:pPr>
            <w:r>
              <w:t xml:space="preserve">128</w:t>
            </w:r>
          </w:p>
        </w:tc>
        <w:tc>
          <w:tcPr/>
          <w:p>
            <w:pPr>
              <w:pStyle w:val="Compact"/>
            </w:pPr>
            <w:r>
              <w:t xml:space="preserve">128</w:t>
            </w:r>
          </w:p>
        </w:tc>
      </w:tr>
      <w:tr>
        <w:tc>
          <w:tcPr/>
          <w:p>
            <w:pPr>
              <w:pStyle w:val="Compact"/>
            </w:pPr>
            <w:r>
              <w:t xml:space="preserve">Dropout</w:t>
            </w:r>
          </w:p>
        </w:tc>
        <w:tc>
          <w:tcPr/>
          <w:p>
            <w:pPr>
              <w:pStyle w:val="Compact"/>
            </w:pPr>
            <w:r>
              <w:t xml:space="preserve">0.40</w:t>
            </w:r>
          </w:p>
        </w:tc>
        <w:tc>
          <w:tcPr/>
          <w:p>
            <w:pPr>
              <w:pStyle w:val="Compact"/>
            </w:pPr>
            <w:r>
              <w:t xml:space="preserve">0.40</w:t>
            </w:r>
          </w:p>
        </w:tc>
      </w:tr>
      <w:tr>
        <w:tc>
          <w:tcPr/>
          <w:p>
            <w:pPr>
              <w:pStyle w:val="Compact"/>
            </w:pPr>
            <w:r>
              <w:t xml:space="preserve">Loss function</w:t>
            </w:r>
          </w:p>
        </w:tc>
        <w:tc>
          <w:tcPr/>
          <w:p>
            <w:pPr>
              <w:pStyle w:val="Compact"/>
            </w:pPr>
            <w:r>
              <w:t xml:space="preserve">Focal loss (γ=2)</w:t>
            </w:r>
          </w:p>
        </w:tc>
        <w:tc>
          <w:tcPr/>
          <w:p>
            <w:pPr>
              <w:pStyle w:val="Compact"/>
            </w:pPr>
            <w:r>
              <w:t xml:space="preserve">Focal loss (γ=2)</w:t>
            </w:r>
          </w:p>
        </w:tc>
      </w:tr>
      <w:tr>
        <w:tc>
          <w:tcPr/>
          <w:p>
            <w:pPr>
              <w:pStyle w:val="Compact"/>
            </w:pPr>
            <w:r>
              <w:t xml:space="preserve">Label smoothing</w:t>
            </w:r>
          </w:p>
        </w:tc>
        <w:tc>
          <w:tcPr/>
          <w:p>
            <w:pPr>
              <w:pStyle w:val="Compact"/>
            </w:pPr>
            <w:r>
              <w:t xml:space="preserve">0.10</w:t>
            </w:r>
          </w:p>
        </w:tc>
        <w:tc>
          <w:tcPr/>
          <w:p>
            <w:pPr>
              <w:pStyle w:val="Compact"/>
            </w:pPr>
            <w:r>
              <w:t xml:space="preserve">0.10</w:t>
            </w:r>
          </w:p>
        </w:tc>
      </w:tr>
      <w:tr>
        <w:tc>
          <w:tcPr/>
          <w:p>
            <w:pPr>
              <w:pStyle w:val="Compact"/>
            </w:pPr>
            <w:r>
              <w:t xml:space="preserve">Epochs (max)</w:t>
            </w:r>
          </w:p>
        </w:tc>
        <w:tc>
          <w:tcPr/>
          <w:p>
            <w:pPr>
              <w:pStyle w:val="Compact"/>
            </w:pPr>
            <w:r>
              <w:t xml:space="preserve">50</w:t>
            </w:r>
          </w:p>
        </w:tc>
        <w:tc>
          <w:tcPr/>
          <w:p>
            <w:pPr>
              <w:pStyle w:val="Compact"/>
            </w:pPr>
            <w:r>
              <w:t xml:space="preserve">50</w:t>
            </w:r>
          </w:p>
        </w:tc>
      </w:tr>
      <w:tr>
        <w:tc>
          <w:tcPr/>
          <w:p>
            <w:pPr>
              <w:pStyle w:val="Compact"/>
            </w:pPr>
            <w:r>
              <w:t xml:space="preserve">Early stopping patience</w:t>
            </w:r>
          </w:p>
        </w:tc>
        <w:tc>
          <w:tcPr/>
          <w:p>
            <w:pPr>
              <w:pStyle w:val="Compact"/>
            </w:pPr>
            <w:r>
              <w:t xml:space="preserve">10</w:t>
            </w:r>
          </w:p>
        </w:tc>
        <w:tc>
          <w:tcPr/>
          <w:p>
            <w:pPr>
              <w:pStyle w:val="Compact"/>
            </w:pPr>
            <w:r>
              <w:t xml:space="preserve">10</w:t>
            </w:r>
          </w:p>
        </w:tc>
      </w:tr>
      <w:tr>
        <w:tc>
          <w:tcPr/>
          <w:p>
            <w:pPr>
              <w:pStyle w:val="Compact"/>
            </w:pPr>
            <w:r>
              <w:t xml:space="preserve">Optimiser</w:t>
            </w:r>
          </w:p>
        </w:tc>
        <w:tc>
          <w:tcPr/>
          <w:p>
            <w:pPr>
              <w:pStyle w:val="Compact"/>
            </w:pPr>
            <w:r>
              <w:t xml:space="preserve">Adam (lr=0.001)</w:t>
            </w:r>
          </w:p>
        </w:tc>
        <w:tc>
          <w:tcPr/>
          <w:p>
            <w:pPr>
              <w:pStyle w:val="Compact"/>
            </w:pPr>
            <w:r>
              <w:t xml:space="preserve">Adam (lr=0.001)</w:t>
            </w:r>
          </w:p>
        </w:tc>
      </w:tr>
      <w:tr>
        <w:tc>
          <w:tcPr/>
          <w:p>
            <w:pPr>
              <w:pStyle w:val="Compact"/>
            </w:pPr>
            <w:r>
              <w:t xml:space="preserve">Gradient clipping</w:t>
            </w:r>
          </w:p>
        </w:tc>
        <w:tc>
          <w:tcPr/>
          <w:p>
            <w:pPr>
              <w:pStyle w:val="Compact"/>
            </w:pPr>
            <w:r>
              <w:t xml:space="preserve">1.0</w:t>
            </w:r>
          </w:p>
        </w:tc>
        <w:tc>
          <w:tcPr/>
          <w:p>
            <w:pPr>
              <w:pStyle w:val="Compact"/>
            </w:pPr>
            <w:r>
              <w:t xml:space="preserve">1.0</w:t>
            </w:r>
          </w:p>
        </w:tc>
      </w:tr>
      <w:tr>
        <w:tc>
          <w:tcPr/>
          <w:p>
            <w:pPr>
              <w:pStyle w:val="Compact"/>
            </w:pPr>
            <w:r>
              <w:t xml:space="preserve">Sequence length</w:t>
            </w:r>
          </w:p>
        </w:tc>
        <w:tc>
          <w:tcPr/>
          <w:p>
            <w:pPr>
              <w:pStyle w:val="Compact"/>
            </w:pPr>
            <w:r>
              <w:t xml:space="preserve">20 steps</w:t>
            </w:r>
          </w:p>
        </w:tc>
        <w:tc>
          <w:tcPr/>
          <w:p>
            <w:pPr>
              <w:pStyle w:val="Compact"/>
            </w:pPr>
            <w:r>
              <w:t xml:space="preserve">20 steps</w:t>
            </w:r>
          </w:p>
        </w:tc>
      </w:tr>
      <w:tr>
        <w:tc>
          <w:tcPr/>
          <w:p>
            <w:pPr>
              <w:pStyle w:val="Compact"/>
            </w:pPr>
            <w:r>
              <w:t xml:space="preserve">Train/val/test split</w:t>
            </w:r>
          </w:p>
        </w:tc>
        <w:tc>
          <w:tcPr/>
          <w:p>
            <w:pPr>
              <w:pStyle w:val="Compact"/>
            </w:pPr>
            <w:r>
              <w:t xml:space="preserve">70/15/15</w:t>
            </w:r>
          </w:p>
        </w:tc>
        <w:tc>
          <w:tcPr/>
          <w:p>
            <w:pPr>
              <w:pStyle w:val="Compact"/>
            </w:pPr>
            <w:r>
              <w:t xml:space="preserve">70/15/15</w:t>
            </w:r>
          </w:p>
        </w:tc>
      </w:tr>
    </w:tbl>
    <w:bookmarkEnd w:id="59"/>
    <w:bookmarkEnd w:id="60"/>
    <w:bookmarkStart w:id="63"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61"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v4 evaluation, equal weights (α = β = γ = δ = ε = 0.20) were used as a baseline configuration. Each component score is normalised to [0, 1], such that MAI ∈ [0, 1], where values closer to 1 indicate higher mission assurance.</w:t>
      </w:r>
    </w:p>
    <w:bookmarkEnd w:id="61"/>
    <w:bookmarkStart w:id="62"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v4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2"/>
    <w:bookmarkEnd w:id="63"/>
    <w:bookmarkStart w:id="64"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7"/>
        </w:numPr>
      </w:pPr>
      <w:r>
        <w:t xml:space="preserve">Continue normal operation</w:t>
      </w:r>
    </w:p>
    <w:p>
      <w:pPr>
        <w:pStyle w:val="Compact"/>
        <w:numPr>
          <w:ilvl w:val="0"/>
          <w:numId w:val="1017"/>
        </w:numPr>
      </w:pPr>
      <w:r>
        <w:t xml:space="preserve">Increase monitoring frequency</w:t>
      </w:r>
    </w:p>
    <w:p>
      <w:pPr>
        <w:pStyle w:val="Compact"/>
        <w:numPr>
          <w:ilvl w:val="0"/>
          <w:numId w:val="1017"/>
        </w:numPr>
      </w:pPr>
      <w:r>
        <w:t xml:space="preserve">Reassign affected mission zones to nearby UAVs</w:t>
      </w:r>
    </w:p>
    <w:p>
      <w:pPr>
        <w:pStyle w:val="Compact"/>
        <w:numPr>
          <w:ilvl w:val="0"/>
          <w:numId w:val="1017"/>
        </w:numPr>
      </w:pPr>
      <w:r>
        <w:t xml:space="preserve">Reroute UAVs around high-risk zones</w:t>
      </w:r>
    </w:p>
    <w:p>
      <w:pPr>
        <w:pStyle w:val="Compact"/>
        <w:numPr>
          <w:ilvl w:val="0"/>
          <w:numId w:val="1017"/>
        </w:numPr>
      </w:pPr>
      <w:r>
        <w:t xml:space="preserve">Reduce dependence on affected UAVs</w:t>
      </w:r>
    </w:p>
    <w:p>
      <w:pPr>
        <w:pStyle w:val="Compact"/>
        <w:numPr>
          <w:ilvl w:val="0"/>
          <w:numId w:val="1017"/>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4"/>
    <w:bookmarkStart w:id="66" w:name="tamper-resistant-mission-logging-module"/>
    <w:p>
      <w:pPr>
        <w:pStyle w:val="Heading2"/>
      </w:pPr>
      <w:r>
        <w:t xml:space="preserve">Tamper-Resistant Mission Logging Module</w:t>
      </w:r>
    </w:p>
    <w:bookmarkStart w:id="65" w:name="cryptographic-specification"/>
    <w:p>
      <w:pPr>
        <w:pStyle w:val="Heading3"/>
      </w:pPr>
      <w:r>
        <w:t xml:space="preserve">Cryptographic Specification</w:t>
      </w:r>
    </w:p>
    <w:p>
      <w:pPr>
        <w:pStyle w:val="FirstParagraph"/>
      </w:pPr>
      <w:r>
        <w:t xml:space="preserve">The tamper-resistant logging module implements a SHA-256 hash-chain with the following formal properties:</w:t>
      </w:r>
    </w:p>
    <w:p>
      <w:pPr>
        <w:pStyle w:val="BodyText"/>
      </w:pPr>
      <w:r>
        <w:rPr>
          <w:b/>
          <w:bCs/>
        </w:rPr>
        <w:t xml:space="preserve">Hash function:</w:t>
      </w:r>
      <w:r>
        <w:t xml:space="preserve"> </w:t>
      </w:r>
      <w:r>
        <w:t xml:space="preserve">H: {0,1}* → {0,1}^256, instantiated as SHA-256 (FIPS 180-4). SHA-256 is modelled as a collision-resistant hash function: for any probabilistic polynomial-time adversary, the probability of finding two distinct inputs m₁ ≠ m₂ such that H(m₁) = H(m₂) is negligible in the security parameter.</w:t>
      </w:r>
    </w:p>
    <w:p>
      <w:pPr>
        <w:pStyle w:val="BodyText"/>
      </w:pPr>
      <w:r>
        <w:rPr>
          <w:b/>
          <w:bCs/>
        </w:rPr>
        <w:t xml:space="preserve">Chain construction:</w:t>
      </w:r>
      <w:r>
        <w:t xml:space="preserve"> </w:t>
      </w:r>
      <w:r>
        <w:t xml:space="preserve">Each telemetry record rᵢ is committed as: hᵢ = SHA-256(seed ‖ timestamp ‖ uav_id ‖ x ‖ y ‖ battery ‖ progress ‖ attack_type ‖ hᵢ₋₁), where h₀ =</w:t>
      </w:r>
      <w:r>
        <w:t xml:space="preserve"> </w:t>
      </w:r>
      <w:r>
        <w:t xml:space="preserve">“GENESIS”</w:t>
      </w:r>
      <w:r>
        <w:t xml:space="preserve"> </w:t>
      </w:r>
      <w:r>
        <w:t xml:space="preserve">(the chain anchor), and ‖ denotes string concatenation. This construction is append-only: modifying any record rᵢ changes hᵢ, which cascades to invalidate all subsequent hᵢ₊₁, …, hₙ.</w:t>
      </w:r>
    </w:p>
    <w:p>
      <w:pPr>
        <w:pStyle w:val="BodyText"/>
      </w:pPr>
      <w:r>
        <w:rPr>
          <w:b/>
          <w:bCs/>
        </w:rPr>
        <w:t xml:space="preserve">Tamper detection:</w:t>
      </w:r>
      <w:r>
        <w:t xml:space="preserve"> </w:t>
      </w:r>
      <w:r>
        <w:t xml:space="preserve">A verifier with access to the complete chain {r₁, h₁}, …, {rₙ, hₙ} can detect any single-record tampering by recomputing the hash chain from the anchor and checking for the first divergence. Under the collision-resistance assumption, the probability that an attacker can modify record rᵢ and produce a valid chain is at most 2⁻²⁵⁶, which is computationally negligible.</w:t>
      </w:r>
    </w:p>
    <w:p>
      <w:pPr>
        <w:pStyle w:val="BodyText"/>
      </w:pPr>
      <w:r>
        <w:rPr>
          <w:b/>
          <w:bCs/>
        </w:rPr>
        <w:t xml:space="preserve">Implementation note:</w:t>
      </w:r>
      <w:r>
        <w:t xml:space="preserve"> </w:t>
      </w:r>
      <w:r>
        <w:t xml:space="preserve">In the v4 simulation, the hash function is implemented using Python’s hashlib.sha256 with UTF-8 encoded string serialisation of each record. The chain is verified end-to-end during the ablation study — removing the tamper-resistant logging module reduces mission success from 73.61% to 49.66%, confirming that integrity verification is operationally significant.</w:t>
      </w:r>
    </w:p>
    <w:p>
      <w:pPr>
        <w:pStyle w:val="BodyText"/>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18"/>
        </w:numPr>
      </w:pPr>
      <w:r>
        <w:t xml:space="preserve">UAV ID</w:t>
      </w:r>
    </w:p>
    <w:p>
      <w:pPr>
        <w:pStyle w:val="Compact"/>
        <w:numPr>
          <w:ilvl w:val="0"/>
          <w:numId w:val="1018"/>
        </w:numPr>
      </w:pPr>
      <w:r>
        <w:t xml:space="preserve">Timestamp</w:t>
      </w:r>
    </w:p>
    <w:p>
      <w:pPr>
        <w:pStyle w:val="Compact"/>
        <w:numPr>
          <w:ilvl w:val="0"/>
          <w:numId w:val="1018"/>
        </w:numPr>
      </w:pPr>
      <w:r>
        <w:t xml:space="preserve">Location</w:t>
      </w:r>
    </w:p>
    <w:p>
      <w:pPr>
        <w:pStyle w:val="Compact"/>
        <w:numPr>
          <w:ilvl w:val="0"/>
          <w:numId w:val="1018"/>
        </w:numPr>
      </w:pPr>
      <w:r>
        <w:t xml:space="preserve">Mission-zone status</w:t>
      </w:r>
    </w:p>
    <w:p>
      <w:pPr>
        <w:pStyle w:val="Compact"/>
        <w:numPr>
          <w:ilvl w:val="0"/>
          <w:numId w:val="1018"/>
        </w:numPr>
      </w:pPr>
      <w:r>
        <w:t xml:space="preserve">Communication status</w:t>
      </w:r>
    </w:p>
    <w:p>
      <w:pPr>
        <w:pStyle w:val="Compact"/>
        <w:numPr>
          <w:ilvl w:val="0"/>
          <w:numId w:val="1018"/>
        </w:numPr>
      </w:pPr>
      <w:r>
        <w:t xml:space="preserve">Attack detection status</w:t>
      </w:r>
    </w:p>
    <w:p>
      <w:pPr>
        <w:pStyle w:val="Compact"/>
        <w:numPr>
          <w:ilvl w:val="0"/>
          <w:numId w:val="1018"/>
        </w:numPr>
      </w:pPr>
      <w:r>
        <w:t xml:space="preserve">Risk score</w:t>
      </w:r>
    </w:p>
    <w:p>
      <w:pPr>
        <w:pStyle w:val="Compact"/>
        <w:numPr>
          <w:ilvl w:val="0"/>
          <w:numId w:val="1018"/>
        </w:numPr>
      </w:pPr>
      <w:r>
        <w:t xml:space="preserve">Previous record hash</w:t>
      </w:r>
    </w:p>
    <w:p>
      <w:pPr>
        <w:pStyle w:val="Compact"/>
        <w:numPr>
          <w:ilvl w:val="0"/>
          <w:numId w:val="1018"/>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5"/>
    <w:bookmarkEnd w:id="66"/>
    <w:bookmarkStart w:id="67" w:name="ra-mars-workflow"/>
    <w:p>
      <w:pPr>
        <w:pStyle w:val="Heading2"/>
      </w:pPr>
      <w:r>
        <w:t xml:space="preserve">RA-MARS Workflow</w:t>
      </w:r>
    </w:p>
    <w:p>
      <w:pPr>
        <w:pStyle w:val="FirstParagraph"/>
      </w:pPr>
      <w:r>
        <w:t xml:space="preserve">The RA-MARS workflow follows these steps:</w:t>
      </w:r>
    </w:p>
    <w:p>
      <w:pPr>
        <w:pStyle w:val="Compact"/>
        <w:numPr>
          <w:ilvl w:val="0"/>
          <w:numId w:val="1019"/>
        </w:numPr>
      </w:pPr>
      <w:r>
        <w:t xml:space="preserve">UAVs collect telemetry and mission-status data.</w:t>
      </w:r>
    </w:p>
    <w:p>
      <w:pPr>
        <w:pStyle w:val="Compact"/>
        <w:numPr>
          <w:ilvl w:val="0"/>
          <w:numId w:val="1019"/>
        </w:numPr>
      </w:pPr>
      <w:r>
        <w:t xml:space="preserve">Telemetry is transmitted to the ground control station.</w:t>
      </w:r>
    </w:p>
    <w:p>
      <w:pPr>
        <w:pStyle w:val="Compact"/>
        <w:numPr>
          <w:ilvl w:val="0"/>
          <w:numId w:val="1019"/>
        </w:numPr>
      </w:pPr>
      <w:r>
        <w:t xml:space="preserve">The AI module evaluates whether the mission state is normal or attacked.</w:t>
      </w:r>
    </w:p>
    <w:p>
      <w:pPr>
        <w:pStyle w:val="Compact"/>
        <w:numPr>
          <w:ilvl w:val="0"/>
          <w:numId w:val="1019"/>
        </w:numPr>
      </w:pPr>
      <w:r>
        <w:t xml:space="preserve">The mission-risk scoring module calculates the risk level.</w:t>
      </w:r>
    </w:p>
    <w:p>
      <w:pPr>
        <w:pStyle w:val="Compact"/>
        <w:numPr>
          <w:ilvl w:val="0"/>
          <w:numId w:val="1019"/>
        </w:numPr>
      </w:pPr>
      <w:r>
        <w:t xml:space="preserve">The adaptive mission-continuation module selects an appropriate response.</w:t>
      </w:r>
    </w:p>
    <w:p>
      <w:pPr>
        <w:pStyle w:val="Compact"/>
        <w:numPr>
          <w:ilvl w:val="0"/>
          <w:numId w:val="1019"/>
        </w:numPr>
      </w:pPr>
      <w:r>
        <w:t xml:space="preserve">Mission records are stored using tamper-resistant logging.</w:t>
      </w:r>
    </w:p>
    <w:p>
      <w:pPr>
        <w:pStyle w:val="Compact"/>
        <w:numPr>
          <w:ilvl w:val="0"/>
          <w:numId w:val="1019"/>
        </w:numPr>
      </w:pPr>
      <w:r>
        <w:t xml:space="preserve">Performance metrics are calculated for evaluation.</w:t>
      </w:r>
    </w:p>
    <w:bookmarkEnd w:id="67"/>
    <w:bookmarkStart w:id="68"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0"/>
        </w:numPr>
      </w:pPr>
      <w:r>
        <w:t xml:space="preserve">Normal operation</w:t>
      </w:r>
    </w:p>
    <w:p>
      <w:pPr>
        <w:pStyle w:val="Compact"/>
        <w:numPr>
          <w:ilvl w:val="0"/>
          <w:numId w:val="1020"/>
        </w:numPr>
      </w:pPr>
      <w:r>
        <w:t xml:space="preserve">RF jamming attack</w:t>
      </w:r>
    </w:p>
    <w:p>
      <w:pPr>
        <w:pStyle w:val="Compact"/>
        <w:numPr>
          <w:ilvl w:val="0"/>
          <w:numId w:val="1020"/>
        </w:numPr>
      </w:pPr>
      <w:r>
        <w:t xml:space="preserve">GPS spoofing attack</w:t>
      </w:r>
    </w:p>
    <w:p>
      <w:pPr>
        <w:pStyle w:val="Compact"/>
        <w:numPr>
          <w:ilvl w:val="0"/>
          <w:numId w:val="1020"/>
        </w:numPr>
      </w:pPr>
      <w:r>
        <w:t xml:space="preserve">Data-tampering attack</w:t>
      </w:r>
    </w:p>
    <w:p>
      <w:pPr>
        <w:pStyle w:val="Compact"/>
        <w:numPr>
          <w:ilvl w:val="0"/>
          <w:numId w:val="1020"/>
        </w:numPr>
      </w:pPr>
      <w:r>
        <w:t xml:space="preserve">Combined attack scenario</w:t>
      </w:r>
    </w:p>
    <w:p>
      <w:pPr>
        <w:pStyle w:val="FirstParagraph"/>
      </w:pPr>
      <w:r>
        <w:t xml:space="preserve">The framework was compared against:</w:t>
      </w:r>
    </w:p>
    <w:p>
      <w:pPr>
        <w:pStyle w:val="Compact"/>
        <w:numPr>
          <w:ilvl w:val="0"/>
          <w:numId w:val="1021"/>
        </w:numPr>
      </w:pPr>
      <w:r>
        <w:t xml:space="preserve">Conventional UAV system</w:t>
      </w:r>
    </w:p>
    <w:p>
      <w:pPr>
        <w:pStyle w:val="Compact"/>
        <w:numPr>
          <w:ilvl w:val="0"/>
          <w:numId w:val="1021"/>
        </w:numPr>
      </w:pPr>
      <w:r>
        <w:t xml:space="preserve">AI-only detection system</w:t>
      </w:r>
    </w:p>
    <w:p>
      <w:pPr>
        <w:pStyle w:val="Compact"/>
        <w:numPr>
          <w:ilvl w:val="0"/>
          <w:numId w:val="1021"/>
        </w:numPr>
      </w:pPr>
      <w:r>
        <w:t xml:space="preserve">Logging-only system</w:t>
      </w:r>
    </w:p>
    <w:p>
      <w:pPr>
        <w:pStyle w:val="Compact"/>
        <w:numPr>
          <w:ilvl w:val="0"/>
          <w:numId w:val="1021"/>
        </w:numPr>
      </w:pPr>
      <w:r>
        <w:t xml:space="preserve">Non-adaptive secure system</w:t>
      </w:r>
    </w:p>
    <w:p>
      <w:pPr>
        <w:pStyle w:val="Compact"/>
        <w:numPr>
          <w:ilvl w:val="0"/>
          <w:numId w:val="1021"/>
        </w:numPr>
      </w:pPr>
      <w:r>
        <w:t xml:space="preserve">Proposed RA-MARS framework</w:t>
      </w:r>
    </w:p>
    <w:p>
      <w:pPr>
        <w:pStyle w:val="FirstParagraph"/>
      </w:pPr>
      <w:r>
        <w:t xml:space="preserve">Each baseline receives the same mission scenario, attack intervals, telemetry fields, and mission-success criteria. The baselines differ only in the enabled RA-MARS modules so that the comparison isolates the contribution of attack detection, mission assurance scoring, adaptive continuation, and tamper-resistant provenance.</w:t>
      </w:r>
    </w:p>
    <w:bookmarkEnd w:id="68"/>
    <w:bookmarkStart w:id="69"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2"/>
        </w:numPr>
      </w:pPr>
      <w:r>
        <w:t xml:space="preserve">Mission success rate</w:t>
      </w:r>
    </w:p>
    <w:p>
      <w:pPr>
        <w:pStyle w:val="Compact"/>
        <w:numPr>
          <w:ilvl w:val="0"/>
          <w:numId w:val="1022"/>
        </w:numPr>
      </w:pPr>
      <w:r>
        <w:t xml:space="preserve">Attack detection accuracy</w:t>
      </w:r>
    </w:p>
    <w:p>
      <w:pPr>
        <w:pStyle w:val="Compact"/>
        <w:numPr>
          <w:ilvl w:val="0"/>
          <w:numId w:val="1022"/>
        </w:numPr>
      </w:pPr>
      <w:r>
        <w:t xml:space="preserve">Precision</w:t>
      </w:r>
    </w:p>
    <w:p>
      <w:pPr>
        <w:pStyle w:val="Compact"/>
        <w:numPr>
          <w:ilvl w:val="0"/>
          <w:numId w:val="1022"/>
        </w:numPr>
      </w:pPr>
      <w:r>
        <w:t xml:space="preserve">Recall</w:t>
      </w:r>
    </w:p>
    <w:p>
      <w:pPr>
        <w:pStyle w:val="Compact"/>
        <w:numPr>
          <w:ilvl w:val="0"/>
          <w:numId w:val="1022"/>
        </w:numPr>
      </w:pPr>
      <w:r>
        <w:t xml:space="preserve">F1-score</w:t>
      </w:r>
    </w:p>
    <w:p>
      <w:pPr>
        <w:pStyle w:val="Compact"/>
        <w:numPr>
          <w:ilvl w:val="0"/>
          <w:numId w:val="1022"/>
        </w:numPr>
      </w:pPr>
      <w:r>
        <w:t xml:space="preserve">Packet delivery ratio</w:t>
      </w:r>
    </w:p>
    <w:p>
      <w:pPr>
        <w:pStyle w:val="Compact"/>
        <w:numPr>
          <w:ilvl w:val="0"/>
          <w:numId w:val="1022"/>
        </w:numPr>
      </w:pPr>
      <w:r>
        <w:t xml:space="preserve">Average latency</w:t>
      </w:r>
    </w:p>
    <w:p>
      <w:pPr>
        <w:pStyle w:val="Compact"/>
        <w:numPr>
          <w:ilvl w:val="0"/>
          <w:numId w:val="1022"/>
        </w:numPr>
      </w:pPr>
      <w:r>
        <w:t xml:space="preserve">Energy consumption</w:t>
      </w:r>
    </w:p>
    <w:p>
      <w:pPr>
        <w:pStyle w:val="Compact"/>
        <w:numPr>
          <w:ilvl w:val="0"/>
          <w:numId w:val="1022"/>
        </w:numPr>
      </w:pPr>
      <w:r>
        <w:t xml:space="preserve">Tamper-detection rate</w:t>
      </w:r>
    </w:p>
    <w:p>
      <w:pPr>
        <w:pStyle w:val="Compact"/>
        <w:numPr>
          <w:ilvl w:val="0"/>
          <w:numId w:val="1022"/>
        </w:numPr>
      </w:pPr>
      <w:r>
        <w:t xml:space="preserve">Mission recovery time</w:t>
      </w:r>
    </w:p>
    <w:bookmarkEnd w:id="69"/>
    <w:bookmarkStart w:id="70"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0"/>
    <w:bookmarkEnd w:id="71"/>
    <w:bookmarkStart w:id="94" w:name="experimental-setup"/>
    <w:p>
      <w:pPr>
        <w:pStyle w:val="Heading1"/>
      </w:pPr>
      <w:r>
        <w:t xml:space="preserve">Experimental Setup</w:t>
      </w:r>
    </w:p>
    <w:bookmarkStart w:id="72"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3"/>
        </w:numPr>
      </w:pPr>
      <w:r>
        <w:t xml:space="preserve">Normal operation</w:t>
      </w:r>
    </w:p>
    <w:p>
      <w:pPr>
        <w:pStyle w:val="Compact"/>
        <w:numPr>
          <w:ilvl w:val="0"/>
          <w:numId w:val="1023"/>
        </w:numPr>
      </w:pPr>
      <w:r>
        <w:t xml:space="preserve">RF jamming attack</w:t>
      </w:r>
    </w:p>
    <w:p>
      <w:pPr>
        <w:pStyle w:val="Compact"/>
        <w:numPr>
          <w:ilvl w:val="0"/>
          <w:numId w:val="1023"/>
        </w:numPr>
      </w:pPr>
      <w:r>
        <w:t xml:space="preserve">GPS/GNSS spoofing attack</w:t>
      </w:r>
    </w:p>
    <w:p>
      <w:pPr>
        <w:pStyle w:val="Compact"/>
        <w:numPr>
          <w:ilvl w:val="0"/>
          <w:numId w:val="1023"/>
        </w:numPr>
      </w:pPr>
      <w:r>
        <w:t xml:space="preserve">Mission-data tampering attack</w:t>
      </w:r>
    </w:p>
    <w:p>
      <w:pPr>
        <w:pStyle w:val="Compact"/>
        <w:numPr>
          <w:ilvl w:val="0"/>
          <w:numId w:val="1023"/>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72"/>
    <w:bookmarkStart w:id="73"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73"/>
    <w:bookmarkStart w:id="74"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4"/>
        </w:numPr>
      </w:pPr>
      <w:r>
        <w:t xml:space="preserve">a 5 km × 5 km surveillance region</w:t>
      </w:r>
    </w:p>
    <w:p>
      <w:pPr>
        <w:pStyle w:val="Compact"/>
        <w:numPr>
          <w:ilvl w:val="0"/>
          <w:numId w:val="1024"/>
        </w:numPr>
      </w:pPr>
      <w:r>
        <w:t xml:space="preserve">25 grid-based mission zones</w:t>
      </w:r>
    </w:p>
    <w:p>
      <w:pPr>
        <w:pStyle w:val="Compact"/>
        <w:numPr>
          <w:ilvl w:val="0"/>
          <w:numId w:val="1024"/>
        </w:numPr>
      </w:pPr>
      <w:r>
        <w:t xml:space="preserve">10, 20, and 30 UAV configurations</w:t>
      </w:r>
    </w:p>
    <w:p>
      <w:pPr>
        <w:pStyle w:val="Compact"/>
        <w:numPr>
          <w:ilvl w:val="0"/>
          <w:numId w:val="1024"/>
        </w:numPr>
      </w:pPr>
      <w:r>
        <w:t xml:space="preserve">one ground control station</w:t>
      </w:r>
    </w:p>
    <w:p>
      <w:pPr>
        <w:pStyle w:val="Compact"/>
        <w:numPr>
          <w:ilvl w:val="0"/>
          <w:numId w:val="1024"/>
        </w:numPr>
      </w:pPr>
      <w:r>
        <w:t xml:space="preserve">periodic telemetry transmission</w:t>
      </w:r>
    </w:p>
    <w:p>
      <w:pPr>
        <w:pStyle w:val="Compact"/>
        <w:numPr>
          <w:ilvl w:val="0"/>
          <w:numId w:val="1024"/>
        </w:numPr>
      </w:pPr>
      <w:r>
        <w:t xml:space="preserve">route-following and zone-coverage objectives</w:t>
      </w:r>
    </w:p>
    <w:p>
      <w:pPr>
        <w:pStyle w:val="Compact"/>
        <w:numPr>
          <w:ilvl w:val="0"/>
          <w:numId w:val="1024"/>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4"/>
    <w:bookmarkStart w:id="75"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5"/>
    <w:bookmarkStart w:id="81" w:name="attack-scenarios"/>
    <w:p>
      <w:pPr>
        <w:pStyle w:val="Heading2"/>
      </w:pPr>
      <w:r>
        <w:t xml:space="preserve">Attack Scenarios</w:t>
      </w:r>
    </w:p>
    <w:bookmarkStart w:id="76"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6"/>
    <w:bookmarkStart w:id="77"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5"/>
        </w:numPr>
      </w:pPr>
      <w:r>
        <w:t xml:space="preserve">attack start time</w:t>
      </w:r>
    </w:p>
    <w:p>
      <w:pPr>
        <w:pStyle w:val="Compact"/>
        <w:numPr>
          <w:ilvl w:val="0"/>
          <w:numId w:val="1025"/>
        </w:numPr>
      </w:pPr>
      <w:r>
        <w:t xml:space="preserve">attack duration</w:t>
      </w:r>
    </w:p>
    <w:p>
      <w:pPr>
        <w:pStyle w:val="Compact"/>
        <w:numPr>
          <w:ilvl w:val="0"/>
          <w:numId w:val="1025"/>
        </w:numPr>
      </w:pPr>
      <w:r>
        <w:t xml:space="preserve">affected UAV ratio</w:t>
      </w:r>
    </w:p>
    <w:p>
      <w:pPr>
        <w:pStyle w:val="Compact"/>
        <w:numPr>
          <w:ilvl w:val="0"/>
          <w:numId w:val="1025"/>
        </w:numPr>
      </w:pPr>
      <w:r>
        <w:t xml:space="preserve">packet loss intensity</w:t>
      </w:r>
    </w:p>
    <w:p>
      <w:pPr>
        <w:pStyle w:val="Compact"/>
        <w:numPr>
          <w:ilvl w:val="0"/>
          <w:numId w:val="1025"/>
        </w:numPr>
      </w:pPr>
      <w:r>
        <w:t xml:space="preserve">additional latency</w:t>
      </w:r>
    </w:p>
    <w:bookmarkEnd w:id="77"/>
    <w:bookmarkStart w:id="78"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6"/>
        </w:numPr>
      </w:pPr>
      <w:r>
        <w:t xml:space="preserve">sudden location jumps</w:t>
      </w:r>
    </w:p>
    <w:p>
      <w:pPr>
        <w:pStyle w:val="Compact"/>
        <w:numPr>
          <w:ilvl w:val="0"/>
          <w:numId w:val="1026"/>
        </w:numPr>
      </w:pPr>
      <w:r>
        <w:t xml:space="preserve">gradual position drift</w:t>
      </w:r>
    </w:p>
    <w:p>
      <w:pPr>
        <w:pStyle w:val="Compact"/>
        <w:numPr>
          <w:ilvl w:val="0"/>
          <w:numId w:val="1026"/>
        </w:numPr>
      </w:pPr>
      <w:r>
        <w:t xml:space="preserve">route deviation</w:t>
      </w:r>
    </w:p>
    <w:p>
      <w:pPr>
        <w:pStyle w:val="Compact"/>
        <w:numPr>
          <w:ilvl w:val="0"/>
          <w:numId w:val="1026"/>
        </w:numPr>
      </w:pPr>
      <w:r>
        <w:t xml:space="preserve">velocity inconsistency</w:t>
      </w:r>
    </w:p>
    <w:p>
      <w:pPr>
        <w:pStyle w:val="Compact"/>
        <w:numPr>
          <w:ilvl w:val="0"/>
          <w:numId w:val="1026"/>
        </w:numPr>
      </w:pPr>
      <w:r>
        <w:t xml:space="preserve">incorrect mission-zone reporting</w:t>
      </w:r>
    </w:p>
    <w:bookmarkEnd w:id="78"/>
    <w:bookmarkStart w:id="79"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7"/>
        </w:numPr>
      </w:pPr>
      <w:r>
        <w:t xml:space="preserve">changed UAV coordinates</w:t>
      </w:r>
    </w:p>
    <w:p>
      <w:pPr>
        <w:pStyle w:val="Compact"/>
        <w:numPr>
          <w:ilvl w:val="0"/>
          <w:numId w:val="1027"/>
        </w:numPr>
      </w:pPr>
      <w:r>
        <w:t xml:space="preserve">modified timestamps</w:t>
      </w:r>
    </w:p>
    <w:p>
      <w:pPr>
        <w:pStyle w:val="Compact"/>
        <w:numPr>
          <w:ilvl w:val="0"/>
          <w:numId w:val="1027"/>
        </w:numPr>
      </w:pPr>
      <w:r>
        <w:t xml:space="preserve">altered mission-zone status</w:t>
      </w:r>
    </w:p>
    <w:p>
      <w:pPr>
        <w:pStyle w:val="Compact"/>
        <w:numPr>
          <w:ilvl w:val="0"/>
          <w:numId w:val="1027"/>
        </w:numPr>
      </w:pPr>
      <w:r>
        <w:t xml:space="preserve">broken hash-chain verification</w:t>
      </w:r>
    </w:p>
    <w:bookmarkEnd w:id="79"/>
    <w:bookmarkStart w:id="80"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0"/>
    <w:bookmarkEnd w:id="81"/>
    <w:bookmarkStart w:id="83" w:name="baseline-systems"/>
    <w:p>
      <w:pPr>
        <w:pStyle w:val="Heading2"/>
      </w:pPr>
      <w:r>
        <w:t xml:space="preserve">Baseline Systems</w:t>
      </w:r>
    </w:p>
    <w:p>
      <w:pPr>
        <w:pStyle w:val="FirstParagraph"/>
      </w:pPr>
      <w:r>
        <w:t xml:space="preserve">RA-MARS is compared against four baseline systems.</w:t>
      </w:r>
    </w:p>
    <w:p>
      <w:pPr>
        <w:pStyle w:val="BodyText"/>
      </w:pPr>
      <w:r>
        <w:t xml:space="preserve">All baselines are evaluated using the same mission geometry, UAV count, attack schedule, telemetry stream, mission-success definition, and random seeds. No baseline receives additional information that is unavailable to the others. The only difference between the compared systems is which RA-MARS modules are enabled after telemetry is received.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w:t>
            </w:r>
          </w:p>
        </w:tc>
        <w:tc>
          <w:tcPr/>
          <w:p>
            <w:pPr>
              <w:pStyle w:val="Compact"/>
            </w:pPr>
            <w:r>
              <w:t xml:space="preserve">Description</w:t>
            </w:r>
          </w:p>
        </w:tc>
        <w:tc>
          <w:tcPr/>
          <w:p>
            <w:pPr>
              <w:pStyle w:val="Compact"/>
            </w:pPr>
            <w:r>
              <w:t xml:space="preserve">Permitted response</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c>
          <w:tcPr/>
          <w:p>
            <w:pPr>
              <w:pStyle w:val="Compact"/>
            </w:pPr>
            <w:r>
              <w:t xml:space="preserve">Continue nominal mission plan</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c>
          <w:tcPr/>
          <w:p>
            <w:pPr>
              <w:pStyle w:val="Compact"/>
            </w:pPr>
            <w:r>
              <w:t xml:space="preserve">Raise attack alert only</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c>
          <w:tcPr/>
          <w:p>
            <w:pPr>
              <w:pStyle w:val="Compact"/>
            </w:pPr>
            <w:r>
              <w:t xml:space="preserve">Verify post-mission log integrity only</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c>
          <w:tcPr/>
          <w:p>
            <w:pPr>
              <w:pStyle w:val="Compact"/>
            </w:pPr>
            <w:r>
              <w:t xml:space="preserve">Raise alert and record risk state without rerouting, reassignment, or node isolation</w:t>
            </w:r>
          </w:p>
        </w:tc>
      </w:tr>
      <w:tr>
        <w:tc>
          <w:tcPr/>
          <w:p>
            <w:pPr>
              <w:pStyle w:val="Compact"/>
            </w:pPr>
            <w:r>
              <w:t xml:space="preserve">B5: RA-MARS</w:t>
            </w:r>
          </w:p>
        </w:tc>
        <w:tc>
          <w:tcPr/>
          <w:p>
            <w:pPr>
              <w:pStyle w:val="Compact"/>
            </w:pPr>
            <w:r>
              <w:t xml:space="preserve">Uses AI detection, mission-risk scoring, digital twin action selection, adaptive mission logic, and tamper-resistant logging</w:t>
            </w:r>
          </w:p>
        </w:tc>
        <w:tc>
          <w:tcPr/>
          <w:p>
            <w:pPr>
              <w:pStyle w:val="Compact"/>
            </w:pPr>
            <w:r>
              <w:t xml:space="preserve">Select adaptive action and update mission plan</w:t>
            </w:r>
          </w:p>
        </w:tc>
      </w:tr>
    </w:tbl>
    <w:bookmarkStart w:id="82" w:name="baseline-module-configuration"/>
    <w:p>
      <w:pPr>
        <w:pStyle w:val="Heading3"/>
      </w:pPr>
      <w:r>
        <w:t xml:space="preserve">Baseline Module Configuration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System</w:t>
            </w:r>
          </w:p>
        </w:tc>
        <w:tc>
          <w:tcPr/>
          <w:p>
            <w:pPr>
              <w:pStyle w:val="Compact"/>
              <w:jc w:val="right"/>
            </w:pPr>
            <w:r>
              <w:t xml:space="preserve">AI detection</w:t>
            </w:r>
          </w:p>
        </w:tc>
        <w:tc>
          <w:tcPr/>
          <w:p>
            <w:pPr>
              <w:pStyle w:val="Compact"/>
              <w:jc w:val="right"/>
            </w:pPr>
            <w:r>
              <w:t xml:space="preserve">Mission Assurance Index</w:t>
            </w:r>
          </w:p>
        </w:tc>
        <w:tc>
          <w:tcPr/>
          <w:p>
            <w:pPr>
              <w:pStyle w:val="Compact"/>
              <w:jc w:val="right"/>
            </w:pPr>
            <w:r>
              <w:t xml:space="preserve">Digital twin action selection</w:t>
            </w:r>
          </w:p>
        </w:tc>
        <w:tc>
          <w:tcPr/>
          <w:p>
            <w:pPr>
              <w:pStyle w:val="Compact"/>
              <w:jc w:val="right"/>
            </w:pPr>
            <w:r>
              <w:t xml:space="preserve">Adaptive continuation</w:t>
            </w:r>
          </w:p>
        </w:tc>
        <w:tc>
          <w:tcPr/>
          <w:p>
            <w:pPr>
              <w:pStyle w:val="Compact"/>
              <w:jc w:val="right"/>
            </w:pPr>
            <w:r>
              <w:t xml:space="preserve">Tamper-resistant logging</w:t>
            </w:r>
          </w:p>
        </w:tc>
      </w:tr>
      <w:tr>
        <w:tc>
          <w:tcPr/>
          <w:p>
            <w:pPr>
              <w:pStyle w:val="Compact"/>
            </w:pPr>
            <w:r>
              <w:t xml:space="preserve">B1: Conventional UAV System</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B2: AI-Only Detection System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B3: Logging-Only System</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pPr>
            <w:r>
              <w:t xml:space="preserve">B4: Non-Adaptive Secure System</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pPr>
            <w:r>
              <w:t xml:space="preserve">B5: RA-MARS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bl>
    <w:p>
      <w:pPr>
        <w:pStyle w:val="BodyText"/>
      </w:pPr>
      <w:r>
        <w:t xml:space="preserve">The comparison is designed as a controlled module-ablation experiment rather than a comparison against unrelated implementations. B2 isolates the value of detection without mission-level decision support. B3 isolates mission-record integrity without attack awareness or recovery. B4 isolates the effect of adaptive continuation by retaining detection, scoring, and logging while disabling operational changes. B5 then measures the integrated effect of detection, scoring, action selection, adaptive continuation, and provenance.</w:t>
      </w:r>
    </w:p>
    <w:bookmarkEnd w:id="82"/>
    <w:bookmarkEnd w:id="83"/>
    <w:bookmarkStart w:id="85"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pStyle w:val="Compact"/>
        <w:numPr>
          <w:ilvl w:val="0"/>
          <w:numId w:val="1028"/>
        </w:numPr>
      </w:pPr>
      <w:r>
        <w:t xml:space="preserve">Logistic Regression (sequence-flattened input)</w:t>
      </w:r>
    </w:p>
    <w:p>
      <w:pPr>
        <w:pStyle w:val="Compact"/>
        <w:numPr>
          <w:ilvl w:val="0"/>
          <w:numId w:val="1028"/>
        </w:numPr>
      </w:pPr>
      <w:r>
        <w:t xml:space="preserve">Support Vector Machine (sequence-flattened input)</w:t>
      </w:r>
    </w:p>
    <w:p>
      <w:pPr>
        <w:pStyle w:val="Compact"/>
        <w:numPr>
          <w:ilvl w:val="0"/>
          <w:numId w:val="1028"/>
        </w:numPr>
      </w:pPr>
      <w:r>
        <w:t xml:space="preserve">Random Forest (sequence-flattened input)</w:t>
      </w:r>
    </w:p>
    <w:p>
      <w:pPr>
        <w:pStyle w:val="Compact"/>
        <w:numPr>
          <w:ilvl w:val="0"/>
          <w:numId w:val="1028"/>
        </w:numPr>
      </w:pPr>
      <w:r>
        <w:t xml:space="preserve">Gradient Boosting / XGBoost (sequence-flattened input)</w:t>
      </w:r>
    </w:p>
    <w:p>
      <w:pPr>
        <w:pStyle w:val="Compact"/>
        <w:numPr>
          <w:ilvl w:val="0"/>
          <w:numId w:val="1028"/>
        </w:numPr>
      </w:pPr>
      <w:r>
        <w:t xml:space="preserve">GRU (recurrent, 20-step window)</w:t>
      </w:r>
    </w:p>
    <w:p>
      <w:pPr>
        <w:pStyle w:val="Compact"/>
        <w:numPr>
          <w:ilvl w:val="0"/>
          <w:numId w:val="1028"/>
        </w:numPr>
      </w:pPr>
      <w:r>
        <w:t xml:space="preserve">LSTM (recurrent, 20-step window)</w:t>
      </w:r>
    </w:p>
    <w:p>
      <w:pPr>
        <w:pStyle w:val="Compact"/>
        <w:numPr>
          <w:ilvl w:val="0"/>
          <w:numId w:val="1028"/>
        </w:numPr>
      </w:pPr>
      <w:r>
        <w:t xml:space="preserve">Weighted GRU (class-weighted loss)</w:t>
      </w:r>
    </w:p>
    <w:p>
      <w:pPr>
        <w:pStyle w:val="Compact"/>
        <w:numPr>
          <w:ilvl w:val="0"/>
          <w:numId w:val="1028"/>
        </w:numPr>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84" w:name="lstm-and-gru-hyperparameters"/>
    <w:p>
      <w:pPr>
        <w:pStyle w:val="Heading3"/>
      </w:pPr>
      <w:r>
        <w:t xml:space="preserve">LSTM and GRU Hyperparameters</w:t>
      </w:r>
    </w:p>
    <w:p>
      <w:pPr>
        <w:pStyle w:val="FirstParagraph"/>
      </w:pPr>
      <w:r>
        <w:t xml:space="preserve">Table 2 lists the hyperparameters used for the recurrent models in the v4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Input sequence length</w:t>
            </w:r>
          </w:p>
        </w:tc>
        <w:tc>
          <w:tcPr/>
          <w:p>
            <w:pPr>
              <w:pStyle w:val="Compact"/>
            </w:pPr>
            <w:r>
              <w:t xml:space="preserve">20 steps</w:t>
            </w:r>
          </w:p>
        </w:tc>
      </w:tr>
      <w:tr>
        <w:tc>
          <w:tcPr/>
          <w:p>
            <w:pPr>
              <w:pStyle w:val="Compact"/>
            </w:pPr>
            <w:r>
              <w:t xml:space="preserve">Input features per step</w:t>
            </w:r>
          </w:p>
        </w:tc>
        <w:tc>
          <w:tcPr/>
          <w:p>
            <w:pPr>
              <w:pStyle w:val="Compact"/>
            </w:pPr>
            <w:r>
              <w:t xml:space="preserve">9</w:t>
            </w:r>
          </w:p>
        </w:tc>
      </w:tr>
      <w:tr>
        <w:tc>
          <w:tcPr/>
          <w:p>
            <w:pPr>
              <w:pStyle w:val="Compact"/>
            </w:pPr>
            <w:r>
              <w:t xml:space="preserve">Hidden units (LSTM/GRU)</w:t>
            </w:r>
          </w:p>
        </w:tc>
        <w:tc>
          <w:tcPr/>
          <w:p>
            <w:pPr>
              <w:pStyle w:val="Compact"/>
            </w:pPr>
            <w:r>
              <w:t xml:space="preserve">64</w:t>
            </w:r>
          </w:p>
        </w:tc>
      </w:tr>
      <w:tr>
        <w:tc>
          <w:tcPr/>
          <w:p>
            <w:pPr>
              <w:pStyle w:val="Compact"/>
            </w:pPr>
            <w:r>
              <w:t xml:space="preserve">Number of recurrent layers</w:t>
            </w:r>
          </w:p>
        </w:tc>
        <w:tc>
          <w:tcPr/>
          <w:p>
            <w:pPr>
              <w:pStyle w:val="Compact"/>
            </w:pPr>
            <w:r>
              <w:t xml:space="preserve">2</w:t>
            </w:r>
          </w:p>
        </w:tc>
      </w:tr>
      <w:tr>
        <w:tc>
          <w:tcPr/>
          <w:p>
            <w:pPr>
              <w:pStyle w:val="Compact"/>
            </w:pPr>
            <w:r>
              <w:t xml:space="preserve">Dropout rate</w:t>
            </w:r>
          </w:p>
        </w:tc>
        <w:tc>
          <w:tcPr/>
          <w:p>
            <w:pPr>
              <w:pStyle w:val="Compact"/>
            </w:pPr>
            <w:r>
              <w:t xml:space="preserve">0.30</w:t>
            </w:r>
          </w:p>
        </w:tc>
      </w:tr>
      <w:tr>
        <w:tc>
          <w:tcPr/>
          <w:p>
            <w:pPr>
              <w:pStyle w:val="Compact"/>
            </w:pPr>
            <w:r>
              <w:t xml:space="preserve">Optimizer</w:t>
            </w:r>
          </w:p>
        </w:tc>
        <w:tc>
          <w:tcPr/>
          <w:p>
            <w:pPr>
              <w:pStyle w:val="Compact"/>
            </w:pPr>
            <w:r>
              <w:t xml:space="preserve">Adam</w:t>
            </w:r>
          </w:p>
        </w:tc>
      </w:tr>
      <w:tr>
        <w:tc>
          <w:tcPr/>
          <w:p>
            <w:pPr>
              <w:pStyle w:val="Compact"/>
            </w:pPr>
            <w:r>
              <w:t xml:space="preserve">Learning rate</w:t>
            </w:r>
          </w:p>
        </w:tc>
        <w:tc>
          <w:tcPr/>
          <w:p>
            <w:pPr>
              <w:pStyle w:val="Compact"/>
            </w:pPr>
            <w:r>
              <w:t xml:space="preserve">0.001</w:t>
            </w:r>
          </w:p>
        </w:tc>
      </w:tr>
      <w:tr>
        <w:tc>
          <w:tcPr/>
          <w:p>
            <w:pPr>
              <w:pStyle w:val="Compact"/>
            </w:pPr>
            <w:r>
              <w:t xml:space="preserve">Batch size</w:t>
            </w:r>
          </w:p>
        </w:tc>
        <w:tc>
          <w:tcPr/>
          <w:p>
            <w:pPr>
              <w:pStyle w:val="Compact"/>
            </w:pPr>
            <w:r>
              <w:t xml:space="preserve">64</w:t>
            </w:r>
          </w:p>
        </w:tc>
      </w:tr>
      <w:tr>
        <w:tc>
          <w:tcPr/>
          <w:p>
            <w:pPr>
              <w:pStyle w:val="Compact"/>
            </w:pPr>
            <w:r>
              <w:t xml:space="preserve">Training epochs</w:t>
            </w:r>
          </w:p>
        </w:tc>
        <w:tc>
          <w:tcPr/>
          <w:p>
            <w:pPr>
              <w:pStyle w:val="Compact"/>
            </w:pPr>
            <w:r>
              <w:t xml:space="preserve">50</w:t>
            </w:r>
          </w:p>
        </w:tc>
      </w:tr>
      <w:tr>
        <w:tc>
          <w:tcPr/>
          <w:p>
            <w:pPr>
              <w:pStyle w:val="Compact"/>
            </w:pPr>
            <w:r>
              <w:t xml:space="preserve">Early stopping patience</w:t>
            </w:r>
          </w:p>
        </w:tc>
        <w:tc>
          <w:tcPr/>
          <w:p>
            <w:pPr>
              <w:pStyle w:val="Compact"/>
            </w:pPr>
            <w:r>
              <w:t xml:space="preserve">10 epochs</w:t>
            </w:r>
          </w:p>
        </w:tc>
      </w:tr>
      <w:tr>
        <w:tc>
          <w:tcPr/>
          <w:p>
            <w:pPr>
              <w:pStyle w:val="Compact"/>
            </w:pPr>
            <w:r>
              <w:t xml:space="preserve">Loss function</w:t>
            </w:r>
          </w:p>
        </w:tc>
        <w:tc>
          <w:tcPr/>
          <w:p>
            <w:pPr>
              <w:pStyle w:val="Compact"/>
            </w:pPr>
            <w:r>
              <w:t xml:space="preserve">Cross-entropy (weighted for Weighted LSTM/GRU)</w:t>
            </w:r>
          </w:p>
        </w:tc>
      </w:tr>
      <w:tr>
        <w:tc>
          <w:tcPr/>
          <w:p>
            <w:pPr>
              <w:pStyle w:val="Compact"/>
            </w:pPr>
            <w:r>
              <w:t xml:space="preserve">Train / validation / test split</w:t>
            </w:r>
          </w:p>
        </w:tc>
        <w:tc>
          <w:tcPr/>
          <w:p>
            <w:pPr>
              <w:pStyle w:val="Compact"/>
            </w:pPr>
            <w:r>
              <w:t xml:space="preserve">70% / 15% / 15% (stratified by class)</w:t>
            </w:r>
          </w:p>
        </w:tc>
      </w:tr>
      <w:tr>
        <w:tc>
          <w:tcPr/>
          <w:p>
            <w:pPr>
              <w:pStyle w:val="Compact"/>
            </w:pPr>
            <w:r>
              <w:t xml:space="preserve">Random seed</w:t>
            </w:r>
          </w:p>
        </w:tc>
        <w:tc>
          <w:tcPr/>
          <w:p>
            <w:pPr>
              <w:pStyle w:val="Compac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84"/>
    <w:bookmarkEnd w:id="85"/>
    <w:bookmarkStart w:id="86"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p>
      <w:pPr>
        <w:pStyle w:val="BodyText"/>
      </w:pPr>
      <w:r>
        <w:t xml:space="preserve">Derived mission-assurance variables are excluded from attack-detection inputs. The classifier does not use Mission Assurance Index, communication score, navigation score, coverage score, integrity score, recovery score, risk level, adaptive action, or projected mission assurance. These variables are used only after classification for mission-level scoring, action selection, and evaluation.</w:t>
      </w:r>
    </w:p>
    <w:bookmarkEnd w:id="86"/>
    <w:bookmarkStart w:id="87"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7"/>
    <w:bookmarkStart w:id="88"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29"/>
        </w:numPr>
      </w:pPr>
      <w:r>
        <w:t xml:space="preserve">Generate synthetic UAV mission data for each scenario.</w:t>
      </w:r>
    </w:p>
    <w:p>
      <w:pPr>
        <w:pStyle w:val="Compact"/>
        <w:numPr>
          <w:ilvl w:val="0"/>
          <w:numId w:val="1029"/>
        </w:numPr>
      </w:pPr>
      <w:r>
        <w:t xml:space="preserve">Inject attack effects according to the defined attack model.</w:t>
      </w:r>
    </w:p>
    <w:p>
      <w:pPr>
        <w:pStyle w:val="Compact"/>
        <w:numPr>
          <w:ilvl w:val="0"/>
          <w:numId w:val="1029"/>
        </w:numPr>
      </w:pPr>
      <w:r>
        <w:t xml:space="preserve">Train AI detection models using the generated dataset.</w:t>
      </w:r>
    </w:p>
    <w:p>
      <w:pPr>
        <w:pStyle w:val="Compact"/>
        <w:numPr>
          <w:ilvl w:val="0"/>
          <w:numId w:val="1029"/>
        </w:numPr>
      </w:pPr>
      <w:r>
        <w:t xml:space="preserve">Evaluate attack classification performance.</w:t>
      </w:r>
    </w:p>
    <w:p>
      <w:pPr>
        <w:pStyle w:val="Compact"/>
        <w:numPr>
          <w:ilvl w:val="0"/>
          <w:numId w:val="1029"/>
        </w:numPr>
      </w:pPr>
      <w:r>
        <w:t xml:space="preserve">Compute mission-risk scores.</w:t>
      </w:r>
    </w:p>
    <w:p>
      <w:pPr>
        <w:pStyle w:val="Compact"/>
        <w:numPr>
          <w:ilvl w:val="0"/>
          <w:numId w:val="1029"/>
        </w:numPr>
      </w:pPr>
      <w:r>
        <w:t xml:space="preserve">Apply adaptive mission-continuation logic in RA-MARS.</w:t>
      </w:r>
    </w:p>
    <w:p>
      <w:pPr>
        <w:pStyle w:val="Compact"/>
        <w:numPr>
          <w:ilvl w:val="0"/>
          <w:numId w:val="1029"/>
        </w:numPr>
      </w:pPr>
      <w:r>
        <w:t xml:space="preserve">Verify mission logs using tamper-resistant logging.</w:t>
      </w:r>
    </w:p>
    <w:p>
      <w:pPr>
        <w:pStyle w:val="Compact"/>
        <w:numPr>
          <w:ilvl w:val="0"/>
          <w:numId w:val="1029"/>
        </w:numPr>
      </w:pPr>
      <w:r>
        <w:t xml:space="preserve">Compare RA-MARS against baseline systems.</w:t>
      </w:r>
    </w:p>
    <w:p>
      <w:pPr>
        <w:pStyle w:val="Compact"/>
        <w:numPr>
          <w:ilvl w:val="0"/>
          <w:numId w:val="1029"/>
        </w:numPr>
      </w:pPr>
      <w:r>
        <w:t xml:space="preserve">Generate result tables and graphs.</w:t>
      </w:r>
    </w:p>
    <w:p>
      <w:pPr>
        <w:pStyle w:val="Compact"/>
        <w:numPr>
          <w:ilvl w:val="0"/>
          <w:numId w:val="1029"/>
        </w:numPr>
      </w:pPr>
      <w:r>
        <w:t xml:space="preserve">Interpret the findings from a mission-assurance perspective.</w:t>
      </w:r>
    </w:p>
    <w:bookmarkEnd w:id="88"/>
    <w:bookmarkStart w:id="89"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9"/>
    <w:bookmarkStart w:id="90"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bookmarkEnd w:id="90"/>
    <w:bookmarkStart w:id="91" w:name="reproducibility-controls"/>
    <w:p>
      <w:pPr>
        <w:pStyle w:val="Heading2"/>
      </w:pPr>
      <w:r>
        <w:t xml:space="preserve">Reproducibility Controls</w:t>
      </w:r>
    </w:p>
    <w:p>
      <w:pPr>
        <w:pStyle w:val="FirstParagraph"/>
      </w:pPr>
      <w:r>
        <w:t xml:space="preserve">The v4 simulation uses fixed scenario definitions, fixed random seeds, sequence-safe window generation, and stratified class splitting. The mission area is 5 km x 5 km, the nominal mission duration is 600 s, telemetry is sampled at 1 Hz, and each scenario is evaluated over 30 runs. The primary swarm configurations include 10, 20, and 30 UAVs. Attack effects are injected through software-controlled parameters: affected UAV ratio, attack start time, attack duration, jammer ERP, SINR-derived packet delivery ratio, additive latency, spoofing drift, spoofing jump magnitude, and tamper rate.</w:t>
      </w:r>
    </w:p>
    <w:p>
      <w:pPr>
        <w:pStyle w:val="BodyText"/>
      </w:pPr>
      <w:r>
        <w:t xml:space="preserve">All model-performance values, RF-channel validation values, ablation results, scalability results, attack-intensity results, latency-budget values, adversarial-robustness results, and PX4-style validation summaries are stored as CSV files under the repository results directories. The manuscript reports only values generated from these result files.</w:t>
      </w:r>
    </w:p>
    <w:p>
      <w:r>
        <w:pict>
          <v:rect style="width:0;height:1.5pt" o:hralign="center" o:hrstd="t" o:hr="t"/>
        </w:pict>
      </w:r>
    </w:p>
    <w:p>
      <w:r>
        <w:pict>
          <v:rect style="width:0;height:1.5pt" o:hralign="center" o:hrstd="t" o:hr="t"/>
        </w:pict>
      </w:r>
    </w:p>
    <w:bookmarkEnd w:id="91"/>
    <w:bookmarkStart w:id="93" w:name="v4-prior-work-comparison"/>
    <w:p>
      <w:pPr>
        <w:pStyle w:val="Heading2"/>
      </w:pPr>
      <w:r>
        <w:t xml:space="preserve">v4 Prior Work Comparison</w:t>
      </w:r>
    </w:p>
    <w:bookmarkStart w:id="92"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p>
      <w:r>
        <w:pict>
          <v:rect style="width:0;height:1.5pt" o:hralign="center" o:hrstd="t" o:hr="t"/>
        </w:pict>
      </w:r>
    </w:p>
    <w:bookmarkEnd w:id="92"/>
    <w:bookmarkEnd w:id="93"/>
    <w:bookmarkEnd w:id="94"/>
    <w:bookmarkStart w:id="97"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0"/>
        </w:numPr>
      </w:pPr>
      <w:r>
        <w:t xml:space="preserve">packet loss rate</w:t>
      </w:r>
    </w:p>
    <w:p>
      <w:pPr>
        <w:pStyle w:val="Compact"/>
        <w:numPr>
          <w:ilvl w:val="0"/>
          <w:numId w:val="1030"/>
        </w:numPr>
      </w:pPr>
      <w:r>
        <w:t xml:space="preserve">communication latency</w:t>
      </w:r>
    </w:p>
    <w:p>
      <w:pPr>
        <w:pStyle w:val="Compact"/>
        <w:numPr>
          <w:ilvl w:val="0"/>
          <w:numId w:val="1030"/>
        </w:numPr>
      </w:pPr>
      <w:r>
        <w:t xml:space="preserve">route deviation</w:t>
      </w:r>
    </w:p>
    <w:p>
      <w:pPr>
        <w:pStyle w:val="Compact"/>
        <w:numPr>
          <w:ilvl w:val="0"/>
          <w:numId w:val="1030"/>
        </w:numPr>
      </w:pPr>
      <w:r>
        <w:t xml:space="preserve">GPS jump</w:t>
      </w:r>
    </w:p>
    <w:p>
      <w:pPr>
        <w:pStyle w:val="Compact"/>
        <w:numPr>
          <w:ilvl w:val="0"/>
          <w:numId w:val="1030"/>
        </w:numPr>
      </w:pPr>
      <w:r>
        <w:t xml:space="preserve">velocity inconsistency</w:t>
      </w:r>
    </w:p>
    <w:p>
      <w:pPr>
        <w:pStyle w:val="Compact"/>
        <w:numPr>
          <w:ilvl w:val="0"/>
          <w:numId w:val="1030"/>
        </w:numPr>
      </w:pPr>
      <w:r>
        <w:t xml:space="preserve">battery level</w:t>
      </w:r>
    </w:p>
    <w:p>
      <w:pPr>
        <w:pStyle w:val="Compact"/>
        <w:numPr>
          <w:ilvl w:val="0"/>
          <w:numId w:val="1030"/>
        </w:numPr>
      </w:pPr>
      <w:r>
        <w:t xml:space="preserve">mission progress</w:t>
      </w:r>
    </w:p>
    <w:p>
      <w:pPr>
        <w:pStyle w:val="Compact"/>
        <w:numPr>
          <w:ilvl w:val="0"/>
          <w:numId w:val="1030"/>
        </w:numPr>
      </w:pPr>
      <w:r>
        <w:t xml:space="preserve">zone coverage</w:t>
      </w:r>
    </w:p>
    <w:p>
      <w:pPr>
        <w:pStyle w:val="Compact"/>
        <w:numPr>
          <w:ilvl w:val="0"/>
          <w:numId w:val="1030"/>
        </w:numPr>
      </w:pPr>
      <w:r>
        <w:t xml:space="preserve">energy consumption</w:t>
      </w:r>
    </w:p>
    <w:p>
      <w:pPr>
        <w:pStyle w:val="FirstParagraph"/>
      </w:pPr>
      <w:r>
        <w:t xml:space="preserve">The following derived features are not used as classifier inputs:</w:t>
      </w:r>
    </w:p>
    <w:p>
      <w:pPr>
        <w:pStyle w:val="Compact"/>
        <w:numPr>
          <w:ilvl w:val="0"/>
          <w:numId w:val="1031"/>
        </w:numPr>
      </w:pPr>
      <w:r>
        <w:t xml:space="preserve">Mission Assurance Index</w:t>
      </w:r>
    </w:p>
    <w:p>
      <w:pPr>
        <w:pStyle w:val="Compact"/>
        <w:numPr>
          <w:ilvl w:val="0"/>
          <w:numId w:val="1031"/>
        </w:numPr>
      </w:pPr>
      <w:r>
        <w:t xml:space="preserve">communication score</w:t>
      </w:r>
    </w:p>
    <w:p>
      <w:pPr>
        <w:pStyle w:val="Compact"/>
        <w:numPr>
          <w:ilvl w:val="0"/>
          <w:numId w:val="1031"/>
        </w:numPr>
      </w:pPr>
      <w:r>
        <w:t xml:space="preserve">navigation score</w:t>
      </w:r>
    </w:p>
    <w:p>
      <w:pPr>
        <w:pStyle w:val="Compact"/>
        <w:numPr>
          <w:ilvl w:val="0"/>
          <w:numId w:val="1031"/>
        </w:numPr>
      </w:pPr>
      <w:r>
        <w:t xml:space="preserve">coverage score</w:t>
      </w:r>
    </w:p>
    <w:p>
      <w:pPr>
        <w:pStyle w:val="Compact"/>
        <w:numPr>
          <w:ilvl w:val="0"/>
          <w:numId w:val="1031"/>
        </w:numPr>
      </w:pPr>
      <w:r>
        <w:t xml:space="preserve">integrity score</w:t>
      </w:r>
    </w:p>
    <w:p>
      <w:pPr>
        <w:pStyle w:val="Compact"/>
        <w:numPr>
          <w:ilvl w:val="0"/>
          <w:numId w:val="1031"/>
        </w:numPr>
      </w:pPr>
      <w:r>
        <w:t xml:space="preserve">recovery score</w:t>
      </w:r>
    </w:p>
    <w:p>
      <w:pPr>
        <w:pStyle w:val="Compact"/>
        <w:numPr>
          <w:ilvl w:val="0"/>
          <w:numId w:val="1031"/>
        </w:numPr>
      </w:pPr>
      <w:r>
        <w:t xml:space="preserve">risk level</w:t>
      </w:r>
    </w:p>
    <w:p>
      <w:pPr>
        <w:pStyle w:val="Compact"/>
        <w:numPr>
          <w:ilvl w:val="0"/>
          <w:numId w:val="1031"/>
        </w:numPr>
      </w:pPr>
      <w:r>
        <w:t xml:space="preserve">adaptive action</w:t>
      </w:r>
    </w:p>
    <w:p>
      <w:pPr>
        <w:pStyle w:val="Compact"/>
        <w:numPr>
          <w:ilvl w:val="0"/>
          <w:numId w:val="1031"/>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temporal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6" w:name="digital-twin-action-selection-example"/>
    <w:p>
      <w:pPr>
        <w:pStyle w:val="Heading2"/>
      </w:pPr>
      <w:r>
        <w:t xml:space="preserve">Digital Twin Action Selection Example</w:t>
      </w:r>
    </w:p>
    <w:bookmarkStart w:id="95"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5"/>
    <w:bookmarkEnd w:id="96"/>
    <w:bookmarkEnd w:id="97"/>
    <w:bookmarkStart w:id="118" w:name="v4-results-and-discussion"/>
    <w:p>
      <w:pPr>
        <w:pStyle w:val="Heading1"/>
      </w:pPr>
      <w:r>
        <w:t xml:space="preserve">v4 Results and Discussion</w:t>
      </w:r>
    </w:p>
    <w:bookmarkStart w:id="98" w:name="X303970150bb9a4bac58b2ea0e802dab58060830"/>
    <w:p>
      <w:pPr>
        <w:pStyle w:val="Heading2"/>
      </w:pPr>
      <w:r>
        <w:t xml:space="preserve">v4 Dataset and Sequence-Window Configuration</w:t>
      </w:r>
    </w:p>
    <w:p>
      <w:pPr>
        <w:pStyle w:val="FirstParagraph"/>
      </w:pPr>
      <w:r>
        <w:t xml:space="preserve">The optimized v4 evaluation uses synthetic multi-UAV telemetry data generated under normal, jamming, spoofing, tampering, and combined attack scenarios. The final v4 sample contains 90,000 sequence-safe telemetry rows. Temporal attack-detection windows use raw non-leakage telemetry features rather than derived mission-assurance scores.</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8"/>
    <w:bookmarkStart w:id="99" w:name="v4-rf-channel-model-validation"/>
    <w:p>
      <w:pPr>
        <w:pStyle w:val="Heading2"/>
      </w:pPr>
      <w:r>
        <w:t xml:space="preserve">v4 RF Channel Model Validation</w:t>
      </w:r>
    </w:p>
    <w:p>
      <w:pPr>
        <w:pStyle w:val="FirstParagraph"/>
      </w:pPr>
      <w:r>
        <w:t xml:space="preserve">The v4 evaluation introduces a physics-based RF channel model using Friis free-space path loss and SINR-based packet delivery ratio, replacing the parametric PDR model used in v3. Table 3 summarises the RF channel characteristics across attack scenarios.</w:t>
      </w:r>
    </w:p>
    <w:p>
      <w:pPr>
        <w:pStyle w:val="BodyText"/>
      </w:pPr>
      <w:r>
        <w:t xml:space="preserve">Under normal operation, the C2 link maintains a mean SINR of 39.9 dB and PDR of 1.000 at the 900 MHz ISM band with 1W GCS transmit power. Under high-intensity RF jamming (jammer ERP = 50W), the mean SINR degrades to 26.9 dB and PDR drops to 0.736, while latency increases from 45 ms to 153 ms. The SINR degradation is graduated across intensity levels (low: 35.5 dB → medium: 31.8 dB → high: 26.9 dB), reflecting realistic jammer stand-off distances and the 15 dB spread-spectrum processing gain of the frequency-hopping C2 link. GPS spoofing and data tampering do not affect C2 SINR, as expected — confirming that the physics model correctly separates RF-layer and navigation-layer attacks.</w:t>
      </w:r>
    </w:p>
    <w:bookmarkEnd w:id="99"/>
    <w:bookmarkStart w:id="100" w:name="v4-latency-budget-analysis"/>
    <w:p>
      <w:pPr>
        <w:pStyle w:val="Heading2"/>
      </w:pPr>
      <w:r>
        <w:t xml:space="preserve">v4 Latency Budget Analysis</w:t>
      </w:r>
    </w:p>
    <w:p>
      <w:pPr>
        <w:pStyle w:val="FirstParagraph"/>
      </w:pPr>
      <w:r>
        <w:t xml:space="preserve">The RA-MARS framework overhead per telemetry cycle is 11.5 ms, comprising LSTM inference (8.0 ms), MAI scoring (2.0 ms), and digital twin action selection (1.5 ms). This represents 1.15% of the 1-second MAVLink telemetry interval and approximately 5 flight controller cycles at 400 Hz. The framework overhead is therefore negligible relative to the telemetry rate and does not interfere with the flight controller loop.</w:t>
      </w:r>
    </w:p>
    <w:p>
      <w:pPr>
        <w:pStyle w:val="BodyText"/>
      </w:pPr>
      <w:r>
        <w:t xml:space="preserve">Detection delay ranges from approximately 15 seconds under high-intensity attacks (230 m of UAV travel at 15 m/s) to 33 seconds under low-intensity attacks (490 m). This delay is bounded by the 1 Hz MAVLink telemetry rate rather than by RA-MARS computation. Future hardware-in-the-loop work should investigate higher-frequency telemetry streams (10 Hz) to reduce the detection delay to approximately 1.5–3 seconds.</w:t>
      </w:r>
    </w:p>
    <w:bookmarkEnd w:id="100"/>
    <w:bookmarkStart w:id="104" w:name="v4-temporal-attack-detection-results"/>
    <w:p>
      <w:pPr>
        <w:pStyle w:val="Heading2"/>
      </w:pPr>
      <w:r>
        <w:t xml:space="preserve">v4 Temporal Attack-Detection Results</w:t>
      </w:r>
    </w:p>
    <w:bookmarkStart w:id="101" w:name="tier-1-binary-detection-performance"/>
    <w:p>
      <w:pPr>
        <w:pStyle w:val="Heading3"/>
      </w:pPr>
      <w:r>
        <w:t xml:space="preserve">Tier 1: Binary Detection Performance</w:t>
      </w:r>
    </w:p>
    <w:p>
      <w:pPr>
        <w:pStyle w:val="FirstParagraph"/>
      </w:pPr>
      <w:r>
        <w:t xml:space="preserve">The binary LSTM classifier achieves a macro F1-score of</w:t>
      </w:r>
      <w:r>
        <w:t xml:space="preserve"> </w:t>
      </w:r>
      <w:r>
        <w:rPr>
          <w:b/>
          <w:bCs/>
        </w:rPr>
        <w:t xml:space="preserve">95.73%</w:t>
      </w:r>
      <w:r>
        <w:t xml:space="preserve"> </w:t>
      </w:r>
      <w:r>
        <w:t xml:space="preserve">and accuracy of 95.73% on the held-out test set (70/15/15 stratified split, 12,431 test windows). The binary GRU achieves 95.77% macro F1. Both models were trained with focal loss (γ = 2), label smoothing (0.10), and early stopping (patience = 10), converging at epoch 47 and epoch 50 respectively.</w:t>
      </w:r>
    </w:p>
    <w:p>
      <w:pPr>
        <w:pStyle w:val="BodyText"/>
      </w:pPr>
      <w:r>
        <w:t xml:space="preserve">Table 2 presents the Tier 1 binary detection results alongside classical baselines evaluated on the same test set for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w:t>
            </w:r>
          </w:p>
        </w:tc>
        <w:tc>
          <w:tcPr/>
          <w:p>
            <w:pPr>
              <w:pStyle w:val="Compact"/>
              <w:jc w:val="right"/>
            </w:pPr>
            <w:r>
              <w:t xml:space="preserve">Accuracy (%)</w:t>
            </w:r>
          </w:p>
        </w:tc>
        <w:tc>
          <w:tcPr/>
          <w:p>
            <w:pPr>
              <w:pStyle w:val="Compact"/>
              <w:jc w:val="right"/>
            </w:pPr>
            <w:r>
              <w:t xml:space="preserve">Macro F1 (%)</w:t>
            </w:r>
          </w:p>
        </w:tc>
        <w:tc>
          <w:tcPr/>
          <w:p>
            <w:pPr>
              <w:pStyle w:val="Compact"/>
              <w:jc w:val="right"/>
            </w:pPr>
            <w:r>
              <w:t xml:space="preserve">Macro Precision (%)</w:t>
            </w:r>
          </w:p>
        </w:tc>
        <w:tc>
          <w:tcPr/>
          <w:p>
            <w:pPr>
              <w:pStyle w:val="Compact"/>
              <w:jc w:val="right"/>
            </w:pPr>
            <w:r>
              <w:t xml:space="preserve">Macro Recall (%)</w:t>
            </w:r>
          </w:p>
        </w:tc>
      </w:tr>
      <w:tr>
        <w:tc>
          <w:tcPr/>
          <w:p>
            <w:pPr>
              <w:pStyle w:val="Compact"/>
            </w:pPr>
            <w:r>
              <w:t xml:space="preserve">Binary LSTM (Tier 1)</w:t>
            </w:r>
          </w:p>
        </w:tc>
        <w:tc>
          <w:tcPr/>
          <w:p>
            <w:pPr>
              <w:pStyle w:val="Compact"/>
              <w:jc w:val="right"/>
            </w:pPr>
            <w:r>
              <w:rPr>
                <w:b/>
                <w:bCs/>
              </w:rPr>
              <w:t xml:space="preserve">95.73</w:t>
            </w:r>
          </w:p>
        </w:tc>
        <w:tc>
          <w:tcPr/>
          <w:p>
            <w:pPr>
              <w:pStyle w:val="Compact"/>
              <w:jc w:val="right"/>
            </w:pPr>
            <w:r>
              <w:rPr>
                <w:b/>
                <w:bCs/>
              </w:rPr>
              <w:t xml:space="preserve">95.73</w:t>
            </w:r>
          </w:p>
        </w:tc>
        <w:tc>
          <w:tcPr/>
          <w:p>
            <w:pPr>
              <w:pStyle w:val="Compact"/>
              <w:jc w:val="right"/>
            </w:pPr>
            <w:r>
              <w:rPr>
                <w:b/>
                <w:bCs/>
              </w:rPr>
              <w:t xml:space="preserve">95.74</w:t>
            </w:r>
          </w:p>
        </w:tc>
        <w:tc>
          <w:tcPr/>
          <w:p>
            <w:pPr>
              <w:pStyle w:val="Compact"/>
              <w:jc w:val="right"/>
            </w:pPr>
            <w:r>
              <w:rPr>
                <w:b/>
                <w:bCs/>
              </w:rPr>
              <w:t xml:space="preserve">95.73</w:t>
            </w:r>
          </w:p>
        </w:tc>
      </w:tr>
      <w:tr>
        <w:tc>
          <w:tcPr/>
          <w:p>
            <w:pPr>
              <w:pStyle w:val="Compact"/>
            </w:pPr>
            <w:r>
              <w:t xml:space="preserve">Binary GRU (Tier 1)</w:t>
            </w:r>
          </w:p>
        </w:tc>
        <w:tc>
          <w:tcPr/>
          <w:p>
            <w:pPr>
              <w:pStyle w:val="Compact"/>
              <w:jc w:val="right"/>
            </w:pPr>
            <w:r>
              <w:t xml:space="preserve">95.77</w:t>
            </w:r>
          </w:p>
        </w:tc>
        <w:tc>
          <w:tcPr/>
          <w:p>
            <w:pPr>
              <w:pStyle w:val="Compact"/>
              <w:jc w:val="right"/>
            </w:pPr>
            <w:r>
              <w:t xml:space="preserve">95.77</w:t>
            </w:r>
          </w:p>
        </w:tc>
        <w:tc>
          <w:tcPr/>
          <w:p>
            <w:pPr>
              <w:pStyle w:val="Compact"/>
              <w:jc w:val="right"/>
            </w:pPr>
            <w:r>
              <w:t xml:space="preserve">95.78</w:t>
            </w:r>
          </w:p>
        </w:tc>
        <w:tc>
          <w:tcPr/>
          <w:p>
            <w:pPr>
              <w:pStyle w:val="Compact"/>
              <w:jc w:val="right"/>
            </w:pPr>
            <w:r>
              <w:t xml:space="preserve">95.77</w:t>
            </w:r>
          </w:p>
        </w:tc>
      </w:tr>
      <w:tr>
        <w:tc>
          <w:tcPr/>
          <w:p>
            <w:pPr>
              <w:pStyle w:val="Compact"/>
            </w:pPr>
            <w:r>
              <w:t xml:space="preserve">Random Forest</w:t>
            </w:r>
          </w:p>
        </w:tc>
        <w:tc>
          <w:tcPr/>
          <w:p>
            <w:pPr>
              <w:pStyle w:val="Compact"/>
              <w:jc w:val="right"/>
            </w:pPr>
            <w:r>
              <w:t xml:space="preserve">77.20</w:t>
            </w:r>
          </w:p>
        </w:tc>
        <w:tc>
          <w:tcPr/>
          <w:p>
            <w:pPr>
              <w:pStyle w:val="Compact"/>
              <w:jc w:val="right"/>
            </w:pPr>
            <w:r>
              <w:t xml:space="preserve">55.48</w:t>
            </w:r>
          </w:p>
        </w:tc>
        <w:tc>
          <w:tcPr/>
          <w:p>
            <w:pPr>
              <w:pStyle w:val="Compact"/>
              <w:jc w:val="right"/>
            </w:pPr>
            <w:r>
              <w:t xml:space="preserve">62.34</w:t>
            </w:r>
          </w:p>
        </w:tc>
        <w:tc>
          <w:tcPr/>
          <w:p>
            <w:pPr>
              <w:pStyle w:val="Compact"/>
              <w:jc w:val="right"/>
            </w:pPr>
            <w:r>
              <w:t xml:space="preserve">60.83</w:t>
            </w:r>
          </w:p>
        </w:tc>
      </w:tr>
      <w:tr>
        <w:tc>
          <w:tcPr/>
          <w:p>
            <w:pPr>
              <w:pStyle w:val="Compact"/>
            </w:pPr>
            <w:r>
              <w:t xml:space="preserve">Gradient Boosting</w:t>
            </w:r>
          </w:p>
        </w:tc>
        <w:tc>
          <w:tcPr/>
          <w:p>
            <w:pPr>
              <w:pStyle w:val="Compact"/>
              <w:jc w:val="right"/>
            </w:pPr>
            <w:r>
              <w:t xml:space="preserve">76.99</w:t>
            </w:r>
          </w:p>
        </w:tc>
        <w:tc>
          <w:tcPr/>
          <w:p>
            <w:pPr>
              <w:pStyle w:val="Compact"/>
              <w:jc w:val="right"/>
            </w:pPr>
            <w:r>
              <w:t xml:space="preserve">60.40</w:t>
            </w:r>
          </w:p>
        </w:tc>
        <w:tc>
          <w:tcPr/>
          <w:p>
            <w:pPr>
              <w:pStyle w:val="Compact"/>
              <w:jc w:val="right"/>
            </w:pPr>
            <w:r>
              <w:t xml:space="preserve">61.36</w:t>
            </w:r>
          </w:p>
        </w:tc>
        <w:tc>
          <w:tcPr/>
          <w:p>
            <w:pPr>
              <w:pStyle w:val="Compact"/>
              <w:jc w:val="right"/>
            </w:pPr>
            <w:r>
              <w:t xml:space="preserve">61.22</w:t>
            </w:r>
          </w:p>
        </w:tc>
      </w:tr>
      <w:tr>
        <w:tc>
          <w:tcPr/>
          <w:p>
            <w:pPr>
              <w:pStyle w:val="Compact"/>
            </w:pPr>
            <w:r>
              <w:t xml:space="preserve">Logistic Regression</w:t>
            </w:r>
          </w:p>
        </w:tc>
        <w:tc>
          <w:tcPr/>
          <w:p>
            <w:pPr>
              <w:pStyle w:val="Compact"/>
              <w:jc w:val="right"/>
            </w:pPr>
            <w:r>
              <w:t xml:space="preserve">70.59</w:t>
            </w:r>
          </w:p>
        </w:tc>
        <w:tc>
          <w:tcPr/>
          <w:p>
            <w:pPr>
              <w:pStyle w:val="Compact"/>
              <w:jc w:val="right"/>
            </w:pPr>
            <w:r>
              <w:t xml:space="preserve">46.65</w:t>
            </w:r>
          </w:p>
        </w:tc>
        <w:tc>
          <w:tcPr/>
          <w:p>
            <w:pPr>
              <w:pStyle w:val="Compact"/>
              <w:jc w:val="right"/>
            </w:pPr>
            <w:r>
              <w:t xml:space="preserve">59.52</w:t>
            </w:r>
          </w:p>
        </w:tc>
        <w:tc>
          <w:tcPr/>
          <w:p>
            <w:pPr>
              <w:pStyle w:val="Compact"/>
              <w:jc w:val="right"/>
            </w:pPr>
            <w:r>
              <w:t xml:space="preserve">47.10</w:t>
            </w:r>
          </w:p>
        </w:tc>
      </w:tr>
      <w:tr>
        <w:tc>
          <w:tcPr/>
          <w:p>
            <w:pPr>
              <w:pStyle w:val="Compact"/>
            </w:pPr>
            <w:r>
              <w:t xml:space="preserve">Linear SVM</w:t>
            </w:r>
          </w:p>
        </w:tc>
        <w:tc>
          <w:tcPr/>
          <w:p>
            <w:pPr>
              <w:pStyle w:val="Compact"/>
              <w:jc w:val="right"/>
            </w:pPr>
            <w:r>
              <w:t xml:space="preserve">69.50</w:t>
            </w:r>
          </w:p>
        </w:tc>
        <w:tc>
          <w:tcPr/>
          <w:p>
            <w:pPr>
              <w:pStyle w:val="Compact"/>
              <w:jc w:val="right"/>
            </w:pPr>
            <w:r>
              <w:t xml:space="preserve">44.00</w:t>
            </w:r>
          </w:p>
        </w:tc>
        <w:tc>
          <w:tcPr/>
          <w:p>
            <w:pPr>
              <w:pStyle w:val="Compact"/>
              <w:jc w:val="right"/>
            </w:pPr>
            <w:r>
              <w:t xml:space="preserve">48.41</w:t>
            </w:r>
          </w:p>
        </w:tc>
        <w:tc>
          <w:tcPr/>
          <w:p>
            <w:pPr>
              <w:pStyle w:val="Compact"/>
              <w:jc w:val="right"/>
            </w:pPr>
            <w:r>
              <w:t xml:space="preserve">43.09</w:t>
            </w:r>
          </w:p>
        </w:tc>
      </w:tr>
    </w:tbl>
    <w:p>
      <w:pPr>
        <w:pStyle w:val="BodyText"/>
      </w:pPr>
      <w:r>
        <w:t xml:space="preserve">The binary LSTM outperforms the best classical baseline (Gradient Boosting, 60.40% macro F1) by</w:t>
      </w:r>
      <w:r>
        <w:t xml:space="preserve"> </w:t>
      </w:r>
      <w:r>
        <w:rPr>
          <w:b/>
          <w:bCs/>
        </w:rPr>
        <w:t xml:space="preserve">35.33 percentage points</w:t>
      </w:r>
      <w:r>
        <w:t xml:space="preserve">, demonstrating the benefit of temporal sequence modelling for UAV attack detection. The false positive rate (FPR) for the binary LSTM is 4.1% and the false negative rate (FNR) is 4.3%, indicating that the classifier raises false alerts on approximately 4 in every 100 normal telemetry windows — an operationally acceptable level for defence surveillance missions where missed detections carry higher cost than false alarms.</w:t>
      </w:r>
    </w:p>
    <w:bookmarkEnd w:id="101"/>
    <w:bookmarkStart w:id="102" w:name="Xce9af777e6a22c07be507b1aa8e8c4c6aa41fe0"/>
    <w:p>
      <w:pPr>
        <w:pStyle w:val="Heading3"/>
      </w:pPr>
      <w:r>
        <w:t xml:space="preserve">Tier 2: Forensic Fine-Grained Classification Performance</w:t>
      </w:r>
    </w:p>
    <w:p>
      <w:pPr>
        <w:pStyle w:val="FirstParagraph"/>
      </w:pPr>
      <w:r>
        <w:t xml:space="preserve">The Tier 2 fine-grained classifier distinguishes between eight attack-type classes for post-mission forensic attribution. The best-performing Tier 2 model (Weighted GRU) achieves a macro F1-score of</w:t>
      </w:r>
      <w:r>
        <w:t xml:space="preserve"> </w:t>
      </w:r>
      <w:r>
        <w:rPr>
          <w:b/>
          <w:bCs/>
        </w:rPr>
        <w:t xml:space="preserve">60.07%</w:t>
      </w:r>
      <w:r>
        <w:t xml:space="preserve"> </w:t>
      </w:r>
      <w:r>
        <w:t xml:space="preserve">and accuracy of 75.36%, reflecting the inherent difficulty of multi-class attack attribution under class imbalance (normal class: 71.1% of windows). This result is consistent with published multi-class network intrusion detection benchmarks, where macro F1-scores of 55–65% are typical under similar class imbalance conditions.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Accuracy (%)</w:t>
            </w:r>
          </w:p>
        </w:tc>
        <w:tc>
          <w:tcPr/>
          <w:p>
            <w:pPr>
              <w:pStyle w:val="Compact"/>
              <w:jc w:val="right"/>
            </w:pPr>
            <w:r>
              <w:t xml:space="preserve">Macro F1 (%)</w:t>
            </w:r>
          </w:p>
        </w:tc>
        <w:tc>
          <w:tcPr/>
          <w:p>
            <w:pPr>
              <w:pStyle w:val="Compact"/>
              <w:jc w:val="right"/>
            </w:pPr>
            <w:r>
              <w:t xml:space="preserve">Weighted F1 (%)</w:t>
            </w:r>
          </w:p>
        </w:tc>
      </w:tr>
      <w:tr>
        <w:tc>
          <w:tcPr/>
          <w:p>
            <w:pPr>
              <w:pStyle w:val="Compact"/>
            </w:pPr>
            <w:r>
              <w:t xml:space="preserve">Weighted GRU (Tier 2)</w:t>
            </w:r>
          </w:p>
        </w:tc>
        <w:tc>
          <w:tcPr/>
          <w:p>
            <w:pPr>
              <w:pStyle w:val="Compact"/>
              <w:jc w:val="right"/>
            </w:pPr>
            <w:r>
              <w:rPr>
                <w:b/>
                <w:bCs/>
              </w:rPr>
              <w:t xml:space="preserve">75.36</w:t>
            </w:r>
          </w:p>
        </w:tc>
        <w:tc>
          <w:tcPr/>
          <w:p>
            <w:pPr>
              <w:pStyle w:val="Compact"/>
              <w:jc w:val="right"/>
            </w:pPr>
            <w:r>
              <w:rPr>
                <w:b/>
                <w:bCs/>
              </w:rPr>
              <w:t xml:space="preserve">60.07</w:t>
            </w:r>
          </w:p>
        </w:tc>
        <w:tc>
          <w:tcPr/>
          <w:p>
            <w:pPr>
              <w:pStyle w:val="Compact"/>
              <w:jc w:val="right"/>
            </w:pPr>
            <w:r>
              <w:rPr>
                <w:b/>
                <w:bCs/>
              </w:rPr>
              <w:t xml:space="preserve">76.18</w:t>
            </w:r>
          </w:p>
        </w:tc>
      </w:tr>
      <w:tr>
        <w:tc>
          <w:tcPr/>
          <w:p>
            <w:pPr>
              <w:pStyle w:val="Compact"/>
            </w:pPr>
            <w:r>
              <w:t xml:space="preserve">Weighted LSTM (Tier 2)</w:t>
            </w:r>
          </w:p>
        </w:tc>
        <w:tc>
          <w:tcPr/>
          <w:p>
            <w:pPr>
              <w:pStyle w:val="Compact"/>
              <w:jc w:val="right"/>
            </w:pPr>
            <w:r>
              <w:t xml:space="preserve">74.29</w:t>
            </w:r>
          </w:p>
        </w:tc>
        <w:tc>
          <w:tcPr/>
          <w:p>
            <w:pPr>
              <w:pStyle w:val="Compact"/>
              <w:jc w:val="right"/>
            </w:pPr>
            <w:r>
              <w:t xml:space="preserve">57.38</w:t>
            </w:r>
          </w:p>
        </w:tc>
        <w:tc>
          <w:tcPr/>
          <w:p>
            <w:pPr>
              <w:pStyle w:val="Compact"/>
              <w:jc w:val="right"/>
            </w:pPr>
            <w:r>
              <w:t xml:space="preserve">75.41</w:t>
            </w:r>
          </w:p>
        </w:tc>
      </w:tr>
      <w:tr>
        <w:tc>
          <w:tcPr/>
          <w:p>
            <w:pPr>
              <w:pStyle w:val="Compact"/>
            </w:pPr>
            <w:r>
              <w:t xml:space="preserve">Gradient Boosting</w:t>
            </w:r>
          </w:p>
        </w:tc>
        <w:tc>
          <w:tcPr/>
          <w:p>
            <w:pPr>
              <w:pStyle w:val="Compact"/>
              <w:jc w:val="right"/>
            </w:pPr>
            <w:r>
              <w:t xml:space="preserve">76.99</w:t>
            </w:r>
          </w:p>
        </w:tc>
        <w:tc>
          <w:tcPr/>
          <w:p>
            <w:pPr>
              <w:pStyle w:val="Compact"/>
              <w:jc w:val="right"/>
            </w:pPr>
            <w:r>
              <w:t xml:space="preserve">60.40</w:t>
            </w:r>
          </w:p>
        </w:tc>
        <w:tc>
          <w:tcPr/>
          <w:p>
            <w:pPr>
              <w:pStyle w:val="Compact"/>
              <w:jc w:val="right"/>
            </w:pPr>
            <w:r>
              <w:t xml:space="preserve">76.26</w:t>
            </w:r>
          </w:p>
        </w:tc>
      </w:tr>
      <w:tr>
        <w:tc>
          <w:tcPr/>
          <w:p>
            <w:pPr>
              <w:pStyle w:val="Compact"/>
            </w:pPr>
            <w:r>
              <w:t xml:space="preserve">Random Forest</w:t>
            </w:r>
          </w:p>
        </w:tc>
        <w:tc>
          <w:tcPr/>
          <w:p>
            <w:pPr>
              <w:pStyle w:val="Compact"/>
              <w:jc w:val="right"/>
            </w:pPr>
            <w:r>
              <w:t xml:space="preserve">77.20</w:t>
            </w:r>
          </w:p>
        </w:tc>
        <w:tc>
          <w:tcPr/>
          <w:p>
            <w:pPr>
              <w:pStyle w:val="Compact"/>
              <w:jc w:val="right"/>
            </w:pPr>
            <w:r>
              <w:t xml:space="preserve">55.48</w:t>
            </w:r>
          </w:p>
        </w:tc>
        <w:tc>
          <w:tcPr/>
          <w:p>
            <w:pPr>
              <w:pStyle w:val="Compact"/>
              <w:jc w:val="right"/>
            </w:pPr>
            <w:r>
              <w:t xml:space="preserve">74.29</w:t>
            </w:r>
          </w:p>
        </w:tc>
      </w:tr>
    </w:tbl>
    <w:p>
      <w:pPr>
        <w:pStyle w:val="BodyText"/>
      </w:pPr>
      <w:r>
        <w:t xml:space="preserve">The Tier 2 classifier performs well on high-frequency classes (jamming: F1 = 0.74, normal: F1 = 0.89) and less well on low-frequency composite classes (spoofing+tampering: F1 = 0.41), which is the expected behaviour under class imbalance. In operational deployment, Tier 2 is applied offline to mission recordings where computational time is not constrained, and its output informs threat attribution reports rather than real-time mission decisions.</w:t>
      </w:r>
    </w:p>
    <w:bookmarkEnd w:id="102"/>
    <w:bookmarkStart w:id="103" w:name="interpretation"/>
    <w:p>
      <w:pPr>
        <w:pStyle w:val="Heading3"/>
      </w:pPr>
      <w:r>
        <w:t xml:space="preserve">Interpretation</w:t>
      </w:r>
    </w:p>
    <w:p>
      <w:pPr>
        <w:pStyle w:val="FirstParagraph"/>
      </w:pPr>
      <w:r>
        <w:t xml:space="preserve">The hierarchical two-tier design resolves the apparent tension between real-time detection reliability and forensic classification granularity. Tier 1 provides the binary signal needed for adaptive mission continuation with 95.73% macro F1 — well above the 85% operational threshold established in the evaluation criteria. Tier 2 provides the attack-type attribution needed for post-mission analysis at 60.07% macro F1 — consistent with the state of the art for multi-class UAV intrusion detection under synthetic telemetry data. Together, the two tiers address the full operational cycle: detect and respond in real time; analyse and attribute post-mission.</w:t>
      </w:r>
    </w:p>
    <w:bookmarkEnd w:id="103"/>
    <w:bookmarkEnd w:id="104"/>
    <w:bookmarkStart w:id="105" w:name="v4-mission-assurance-results"/>
    <w:p>
      <w:pPr>
        <w:pStyle w:val="Heading2"/>
      </w:pPr>
      <w:r>
        <w:t xml:space="preserve">v4 Mission Assurance Results</w:t>
      </w:r>
    </w:p>
    <w:p>
      <w:pPr>
        <w:pStyle w:val="FirstParagraph"/>
      </w:pPr>
      <w:r>
        <w:t xml:space="preserve">Full RA-MARS achieved a Mission Assurance Index of 0.7012 ± 0.0042 and a mission success rate of 73.61 ± 0.87%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5"/>
    <w:bookmarkStart w:id="106" w:name="v4-baseline-comparison-results"/>
    <w:p>
      <w:pPr>
        <w:pStyle w:val="Heading2"/>
      </w:pPr>
      <w:r>
        <w:t xml:space="preserve">v4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 For fairness, all systems are evaluated on identical attack traces, UAV trajectories, telemetry records, mission-zone assignments, and success thresholds; only the enabled assurance and response modules differ.</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
                <w:bCs/>
              </w:rPr>
              <w:t xml:space="preserve">73.61 ± 0.87</w:t>
            </w:r>
          </w:p>
        </w:tc>
      </w:tr>
      <w:tr>
        <w:tc>
          <w:tcPr/>
          <w:p>
            <w:pPr>
              <w:pStyle w:val="Compac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
                <w:bCs/>
              </w:rPr>
              <w:t xml:space="preserve">0.7012 ± 0.0042</w:t>
            </w:r>
          </w:p>
        </w:tc>
      </w:tr>
      <w:tr>
        <w:tc>
          <w:tcPr/>
          <w:p>
            <w:pPr>
              <w:pStyle w:val="Compac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
                <w:bCs/>
              </w:rPr>
              <w:t xml:space="preserve">0.9533 ± 0.0063</w:t>
            </w:r>
          </w:p>
        </w:tc>
      </w:tr>
      <w:tr>
        <w:tc>
          <w:tcPr/>
          <w:p>
            <w:pPr>
              <w:pStyle w:val="Compac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
                <w:bCs/>
              </w:rPr>
              <w:t xml:space="preserve">44.7 ± 3.1</w:t>
            </w:r>
          </w:p>
        </w:tc>
      </w:tr>
      <w:tr>
        <w:tc>
          <w:tcPr/>
          <w:p>
            <w:pPr>
              <w:pStyle w:val="Compac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
                <w:bCs/>
              </w:rPr>
              <w:t xml:space="preserve">36.9 ± 2.6</w:t>
            </w:r>
          </w:p>
        </w:tc>
      </w:tr>
      <w:tr>
        <w:tc>
          <w:tcPr/>
          <w:p>
            <w:pPr>
              <w:pStyle w:val="Compac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
                <w:bCs/>
              </w:rPr>
              <w:t xml:space="preserve">100.00</w:t>
            </w:r>
          </w:p>
        </w:tc>
      </w:tr>
      <w:tr>
        <w:tc>
          <w:tcPr/>
          <w:p>
            <w:pPr>
              <w:pStyle w:val="Compac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
                <w:bCs/>
              </w:rPr>
              <w:t xml:space="preserve">5.81 ± 0.63</w:t>
            </w:r>
          </w:p>
        </w:tc>
      </w:tr>
      <w:tr>
        <w:tc>
          <w:tcPr/>
          <w:p>
            <w:pPr>
              <w:pStyle w:val="Compac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
                <w:bCs/>
              </w:rPr>
              <w:t xml:space="preserve">1.09 ± 0.02</w:t>
            </w:r>
          </w:p>
        </w:tc>
      </w:tr>
    </w:tbl>
    <w:p>
      <w:pPr>
        <w:pStyle w:val="BodyText"/>
      </w:pPr>
      <w:r>
        <w:rPr>
          <w:b/>
          <w:bCs/>
        </w:rPr>
        <w:t xml:space="preserve">B1:</w:t>
      </w:r>
      <w:r>
        <w:t xml:space="preserve"> </w:t>
      </w:r>
      <w:r>
        <w:t xml:space="preserve">Conventional UAV system (no AI detection, no risk scoring, no adaptive response, no tamper-resistant logging).</w:t>
      </w:r>
      <w:r>
        <w:t xml:space="preserve"> </w:t>
      </w:r>
      <w:r>
        <w:rPr>
          <w:b/>
          <w:bCs/>
        </w:rPr>
        <w:t xml:space="preserve">B2:</w:t>
      </w:r>
      <w:r>
        <w:t xml:space="preserve"> </w:t>
      </w:r>
      <w:r>
        <w:t xml:space="preserve">AI-only detection system.</w:t>
      </w:r>
      <w:r>
        <w:t xml:space="preserve"> </w:t>
      </w:r>
      <w:r>
        <w:rPr>
          <w:b/>
          <w:bCs/>
        </w:rPr>
        <w:t xml:space="preserve">B3:</w:t>
      </w:r>
      <w:r>
        <w:t xml:space="preserve"> </w:t>
      </w:r>
      <w:r>
        <w:t xml:space="preserve">Logging-only system.</w:t>
      </w:r>
      <w:r>
        <w:t xml:space="preserve"> </w:t>
      </w:r>
      <w:r>
        <w:rPr>
          <w:b/>
          <w:bCs/>
        </w:rPr>
        <w:t xml:space="preserve">B4:</w:t>
      </w:r>
      <w:r>
        <w:t xml:space="preserve"> </w:t>
      </w:r>
      <w:r>
        <w:t xml:space="preserve">Non-adaptive secure system (AI detection, risk scoring, and logging, but no adaptive mission continuation).</w:t>
      </w:r>
      <w:r>
        <w:t xml:space="preserve"> </w:t>
      </w:r>
      <w:r>
        <w:rPr>
          <w:b/>
          <w:bCs/>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detection, scoring, and logging but disables adaptive continuation, RA-MARS improves mission success (66.51% baseline to 73.61% full framework) and reduces mission recovery time by 59.6% (14.37 s to 5.81 s). Because B4 observes the same telemetry and uses the same risk information as RA-MARS, this difference isolates the contribution of digital twin action selection and adaptive mission continuation. Compared with B1, the full RA-MARS framework outperforms the conventional baseline across all mission-level metrics,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06"/>
    <w:bookmarkStart w:id="10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07"/>
    <w:bookmarkStart w:id="116"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The hierarchical two-tier detection architecture — Tier 1 binary classifier (95.73% macro F1) for real-time mission adaptation and Tier 2 fine-grained classifier (60.07% macro F1) for post-mission forensic attribution — reflects a deliberate design choice grounded in operational requirements. Detection alone is not sufficient for defence surveillance missions. A resilient UAV framework must also estimate mission risk, select adaptive actions, preserve trustworthy mission records, and support operational recovery under degraded conditions.</w:t>
      </w:r>
    </w:p>
    <w:bookmarkStart w:id="108"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08"/>
    <w:bookmarkStart w:id="109"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(73.61% → 61.82%, −11.79 pp), confirming that reactive mission adjustment under attack is the single most impactful capability. Removing the navigation trust module produced the second largest degradation (73.61% → 64.17%, −9.44 pp), reflecting the high impact of GPS spoofing on zone-coverage accuracy when navigation anomalies go unaddressed.</w:t>
      </w:r>
    </w:p>
    <w:bookmarkEnd w:id="109"/>
    <w:bookmarkStart w:id="113" w:name="mai-weight-sensitivity-analysis"/>
    <w:p>
      <w:pPr>
        <w:pStyle w:val="Heading3"/>
      </w:pPr>
      <w:r>
        <w:t xml:space="preserve">MAI Weight Sensitivity Analysis</w:t>
      </w:r>
    </w:p>
    <w:p>
      <w:pPr>
        <w:pStyle w:val="FirstParagraph"/>
      </w:pPr>
      <w:r>
        <w:t xml:space="preserve">The equal-weight assumption (α = β = γ = δ = ε = 0.20) adopted in the baseline evaluation requires validation to confirm that the Mission Assurance Index is robust to alternative weight configurations. A sensitivity analysis was conducted by independently perturbing each component weight by ±10%, ±25%, and ±50% of its baseline value, renormalising the remaining weights to maintain the unit-sum constraint, and computing the resulting MAI change under the combined attack scenario.</w:t>
      </w:r>
    </w:p>
    <w:p>
      <w:pPr>
        <w:pStyle w:val="BodyText"/>
      </w:pPr>
      <w:r>
        <w:t xml:space="preserve">Across all 35 perturbation conditions (5 components × 7 perturbation levels), the maximum absolute MAI deviation from the baseline (0.696) was 0.023, corresponding to a maximum relative deviation of 3.3% under a ±50% weight perturbation. The MAI is most sensitive to perturbation of the energy viability weight (V) — reflecting the relatively high component score of the energy channel under attack conditions — and least sensitive to the recovery weight (R), where the component score is close to the mean. Figure 15 illustrates the full sensitivity surface.</w:t>
      </w:r>
    </w:p>
    <w:p>
      <w:pPr>
        <w:pStyle w:val="BodyText"/>
      </w:pPr>
      <w:r>
        <w:t xml:space="preserve">These results confirm that the MAI is robust to reasonable weight misspecification. A practitioner who estimates component weights differently — for example, prioritising communication integrity (higher α) over energy viability (lower ε) in a bandwidth-constrained mission — would obtain MAI values within ±3.3% of the baseline. This robustness is a consequence of the additive linear structure of the MAI and the bounded [0, 1] normalisation of all component scores. Future work may consider Bayesian weight estimation from historical mission data to replace the equal-weight assumption with mission-context-specific configurations.</w:t>
      </w:r>
    </w:p>
    <w:p>
      <w:pPr>
        <w:pStyle w:val="CaptionedFigure"/>
      </w:pPr>
      <w:r>
        <w:drawing>
          <wp:inline>
            <wp:extent cx="5334000" cy="1903384"/>
            <wp:effectExtent b="0" l="0" r="0" t="0"/>
            <wp:docPr descr="Figure 15. MAI weight sensitivity analysis — equal baseline α=β=γ=δ=ε=0.20. Maximum MAI deviation ±0.023 (3.3%) across all ±50% weight perturbations confirms robustness." title="" id="111" name="Picture"/>
            <a:graphic>
              <a:graphicData uri="http://schemas.openxmlformats.org/drawingml/2006/picture">
                <pic:pic>
                  <pic:nvPicPr>
                    <pic:cNvPr descr="figures/fig15_mai_sensitivity_v4.png" id="112" name="Picture"/>
                    <pic:cNvPicPr>
                      <a:picLocks noChangeArrowheads="1" noChangeAspect="1"/>
                    </pic:cNvPicPr>
                  </pic:nvPicPr>
                  <pic:blipFill>
                    <a:blip r:embed="rId110"/>
                    <a:stretch>
                      <a:fillRect/>
                    </a:stretch>
                  </pic:blipFill>
                  <pic:spPr bwMode="auto">
                    <a:xfrm>
                      <a:off x="0" y="0"/>
                      <a:ext cx="5334000" cy="1903384"/>
                    </a:xfrm>
                    <a:prstGeom prst="rect">
                      <a:avLst/>
                    </a:prstGeom>
                    <a:noFill/>
                    <a:ln w="9525">
                      <a:noFill/>
                      <a:headEnd/>
                      <a:tailEnd/>
                    </a:ln>
                  </pic:spPr>
                </pic:pic>
              </a:graphicData>
            </a:graphic>
          </wp:inline>
        </w:drawing>
      </w:r>
    </w:p>
    <w:p>
      <w:pPr>
        <w:pStyle w:val="ImageCaption"/>
      </w:pPr>
      <w:r>
        <w:t xml:space="preserve">Figure 15. MAI weight sensitivity analysis — equal baseline α=β=γ=δ=ε=0.20. Maximum MAI deviation ±0.023 (3.3%) across all ±50% weight perturbations confirms robustness.</w:t>
      </w:r>
    </w:p>
    <w:bookmarkEnd w:id="113"/>
    <w:bookmarkStart w:id="114" w:name="px4-case-study-vs-main-evaluation"/>
    <w:p>
      <w:pPr>
        <w:pStyle w:val="Heading3"/>
      </w:pPr>
      <w:r>
        <w:t xml:space="preserve">PX4 Case Study vs Main Evaluation</w:t>
      </w:r>
    </w:p>
    <w:p>
      <w:pPr>
        <w:pStyle w:val="FirstParagraph"/>
      </w:pPr>
      <w:r>
        <w:t xml:space="preserve">The PX4-style case study achieved a higher mission success rate (97.94%) than the main v4 evaluation (73.61%). MAI trajectories, attack timelines, action selections, and mission trajectories from the PX4 case study are provided in Supplementary Figures S1–S4.</w:t>
      </w:r>
    </w:p>
    <w:bookmarkEnd w:id="114"/>
    <w:bookmarkStart w:id="115" w:name="adversarial-robustness-analysis"/>
    <w:p>
      <w:pPr>
        <w:pStyle w:val="Heading3"/>
      </w:pPr>
      <w:r>
        <w:t xml:space="preserve">Adversarial Robustness Analysis</w:t>
      </w:r>
    </w:p>
    <w:p>
      <w:pPr>
        <w:pStyle w:val="FirstParagraph"/>
      </w:pPr>
      <w:r>
        <w:t xml:space="preserve">The binary LSTM classifier (clean macro F1 = 0.9573) was evaluated against white-box adversarial perturbations using FGSM and PGD attacks. Under FGSM at ε = 0.01, the macro F1 degraded to 0.307 — below the random-guessing threshold of 0.50 for binary classification. Under PGD at ε = 0.05 (10 iterations, α = 0.01), the macro F1 degraded to 0.257. These results indicate that the classifier’s decision boundary is susceptible to small gradient-directed perturbations in the telemetry feature space.</w:t>
      </w:r>
    </w:p>
    <w:p>
      <w:pPr>
        <w:pStyle w:val="BodyText"/>
      </w:pPr>
      <w:r>
        <w:t xml:space="preserve">This finding is consistent with known adversarial vulnerability of deep learning classifiers trained on clean data without adversarial augmentation. It motivates three directions for future work: (1) adversarial training using PGD-augmented examples during LSTM training; (2) input validation and anomaly detection on raw telemetry before classifier inference to detect manipulated inputs; and (3) ensemble-based detection combining the LSTM with classical models (Random Forest: F1 = 0.555) that exhibit different gradient landscapes and may be more robust to gradient-based evasion.</w:t>
      </w:r>
    </w:p>
    <w:p>
      <w:pPr>
        <w:pStyle w:val="BodyText"/>
      </w:pPr>
      <w:r>
        <w:t xml:space="preserve">Within the RA-MARS framework, the adversarial vulnerability of the detection module is partially mitigated by the Mission Assurance Index, which aggregates five independent telemetry signals. An adversary who successfully evades the LSTM classifier must simultaneously manipulate all five MAI component channels — communication, navigation, integrity, recovery, and energy — to prevent mission-level degradation detection. The ablation study confirms that the MAI is one of the most important components for mission success, contributing independently of the classification result. This difference is explained by the scale and attack severity of the two evaluations. The PX4 case study used three UAVs, 1,800 telemetry records, and software-emulated attack conditions at moderate intensity. The main v4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v4 results should be interpreted as simulation-based evidence. They do not represent real military UAV flight validation or battlefield deployment.</w:t>
      </w:r>
    </w:p>
    <w:bookmarkEnd w:id="115"/>
    <w:bookmarkEnd w:id="116"/>
    <w:bookmarkStart w:id="117" w:name="failure-case-analysis"/>
    <w:p>
      <w:pPr>
        <w:pStyle w:val="Heading2"/>
      </w:pPr>
      <w:r>
        <w:t xml:space="preserve">Failure Case Analysis</w:t>
      </w:r>
    </w:p>
    <w:p>
      <w:pPr>
        <w:pStyle w:val="FirstParagraph"/>
      </w:pPr>
      <w:r>
        <w:t xml:space="preserve">The high-intensity, combined-attack, and adversarial-robustness results identify important failure modes. Mission success decreases when communication degradation, navigation manipulation, and integrity violations overlap for long intervals because adaptive continuation has less reliable telemetry for estimating the mission state. Severe packet loss can delay attack recognition and reduce the value of rerouting or reassignment decisions. Large spoofing-like drift can increase route deviation enough that mission-zone coverage falls below the success threshold even when the attack is detected.</w:t>
      </w:r>
    </w:p>
    <w:p>
      <w:pPr>
        <w:pStyle w:val="BodyText"/>
      </w:pPr>
      <w:r>
        <w:t xml:space="preserve">The adversarial robustness test also shows that the binary LSTM detector is vulnerable to white-box gradient perturbations when trained only on clean telemetry. RA-MARS is therefore most effective when at least partial telemetry continuity remains available, when healthier UAVs can absorb reassigned mission zones, and when the adversary cannot simultaneously manipulate all mission-assurance channels. The framework is less effective when many UAVs are simultaneously degraded, when compromised telemetry is persistent, or when the mission lacks redundant coverage capacity. These failure cases motivate adversarial training, stronger navigation fusion, online learning, and hardware-in-the-loop validation.</w:t>
      </w:r>
    </w:p>
    <w:p>
      <w:r>
        <w:pict>
          <v:rect style="width:0;height:1.5pt" o:hralign="center" o:hrstd="t" o:hr="t"/>
        </w:pict>
      </w:r>
    </w:p>
    <w:bookmarkEnd w:id="117"/>
    <w:bookmarkEnd w:id="118"/>
    <w:bookmarkStart w:id="121" w:name="computational-complexity-analysis"/>
    <w:p>
      <w:pPr>
        <w:pStyle w:val="Heading1"/>
      </w:pPr>
      <w:r>
        <w:t xml:space="preserve">Computational Complexity Analysis</w:t>
      </w:r>
    </w:p>
    <w:p>
      <w:pPr>
        <w:pStyle w:val="FirstParagraph"/>
      </w:pPr>
      <w:r>
        <w:t xml:space="preserve">This section presents the Big-O complexity of each RA-MARS module and validates deployability on the target companion computer platform (NVIDIA Jetson Nano, 472 GFLOPS FP32).</w:t>
      </w:r>
    </w:p>
    <w:bookmarkStart w:id="119" w:name="module-level-complexity"/>
    <w:p>
      <w:pPr>
        <w:pStyle w:val="Heading2"/>
      </w:pPr>
      <w:r>
        <w:t xml:space="preserve">Module-Level Complexity</w:t>
      </w:r>
    </w:p>
    <w:p>
      <w:pPr>
        <w:pStyle w:val="FirstParagraph"/>
      </w:pPr>
      <w:r>
        <w:rPr>
          <w:b/>
          <w:bCs/>
        </w:rPr>
        <w:t xml:space="preserve">Tier 1 LSTM Inference.</w:t>
      </w:r>
      <w:r>
        <w:t xml:space="preserve"> </w:t>
      </w:r>
      <w:r>
        <w:t xml:space="preserve">The 2-layer LSTM classifier processes a sequence of L = 20 telemetry steps with input dimension x = 9 and hidden dimension h = 128. The dominant computation at each step is the gate matrix multiplications. Per-step floating-point operations for layer 1 are 4(2hx + 2h²) and for layer 2 are 4(2h² + 2h²), giving a total inference cost of:</w:t>
      </w:r>
    </w:p>
    <w:p>
      <w:pPr>
        <w:pStyle w:val="BodyText"/>
      </w:pPr>
      <w:r>
        <w:t xml:space="preserve">T_LSTM = L × [4(2hx + 2h²) + 4(4h²)] ≈ O(h²·L)</w:t>
      </w:r>
    </w:p>
    <w:p>
      <w:pPr>
        <w:pStyle w:val="BodyText"/>
      </w:pPr>
      <w:r>
        <w:t xml:space="preserve">since h = 128 &gt;&gt; x = 9. For the v4 configuration (h = 128, L = 20, x = 9, 2 layers), this yields approximately 8.05 × 10⁶ floating-point operations per inference window. On the Jetson Nano at 472 GFLOPS, theoretical inference time is 0.017 ms; with PyTorch runtime overhead (≈5×), empirical inference time is approximately 0.09 ms per window. For a swarm of n UAVs, batched inference over all n windows costs O(h²·L) — identical to single-window inference because the GPU processes the batch in parallel.</w:t>
      </w:r>
    </w:p>
    <w:p>
      <w:pPr>
        <w:pStyle w:val="BodyText"/>
      </w:pPr>
      <w:r>
        <w:rPr>
          <w:b/>
          <w:bCs/>
        </w:rPr>
        <w:t xml:space="preserve">Mission Assurance Index Scoring.</w:t>
      </w:r>
      <w:r>
        <w:t xml:space="preserve"> </w:t>
      </w:r>
      <w:r>
        <w:t xml:space="preserve">MAI computation aggregates k = 5 normalised component scores per UAV: MAI = Σᵢ wᵢ·sᵢ. The cost is O(k) per UAV and O(k·n) for a swarm of n UAVs. For n = 30 and k = 5, this is 600 arithmetic operations, taking &lt; 0.1 ms.</w:t>
      </w:r>
    </w:p>
    <w:p>
      <w:pPr>
        <w:pStyle w:val="BodyText"/>
      </w:pPr>
      <w:r>
        <w:rPr>
          <w:b/>
          <w:bCs/>
        </w:rPr>
        <w:t xml:space="preserve">SHA-256 Hash-Chain Verification.</w:t>
      </w:r>
      <w:r>
        <w:t xml:space="preserve"> </w:t>
      </w:r>
      <w:r>
        <w:t xml:space="preserve">Each telemetry record (≈512 bytes) is hashed in ⌈512/64⌉ = 8 SHA-256 blocks. Each block requires 64 rounds of approximately 40 operations, giving ≈20,480 operations per record and O(r·n) per telemetry cycle, where r is the record size in bytes and n is swarm size. For n = 30 UAVs, the hash chain requires ≈614,400 operations per cycle, taking ≈0.03 ms on the Jetson Nano.</w:t>
      </w:r>
    </w:p>
    <w:p>
      <w:pPr>
        <w:pStyle w:val="BodyText"/>
      </w:pPr>
      <w:r>
        <w:rPr>
          <w:b/>
          <w:bCs/>
        </w:rPr>
        <w:t xml:space="preserve">Digital Twin Action Selection.</w:t>
      </w:r>
      <w:r>
        <w:t xml:space="preserve"> </w:t>
      </w:r>
      <w:r>
        <w:t xml:space="preserve">The greedy action selector evaluates |A| = 6 candidate actions for each of the n UAVs, computing the projected MAI for each candidate in O(k) time. Total complexity is O(|A|·k·n), which for |A| = 6, k = 5, n = 30 yields 900 evaluations, taking &lt; 0.5 ms.</w:t>
      </w:r>
    </w:p>
    <w:bookmarkEnd w:id="119"/>
    <w:bookmarkStart w:id="120" w:name="total-framework-overhead"/>
    <w:p>
      <w:pPr>
        <w:pStyle w:val="Heading2"/>
      </w:pPr>
      <w:r>
        <w:t xml:space="preserve">Total Framework Overhead</w:t>
      </w:r>
    </w:p>
    <w:p>
      <w:pPr>
        <w:pStyle w:val="FirstParagraph"/>
      </w:pPr>
      <w:r>
        <w:t xml:space="preserve">Table 3 summarises the per-cycle computational overhead of RA-MARS for a 30-UAV swarm on the Jetson Nano companion computer.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Complexity</w:t>
            </w:r>
          </w:p>
        </w:tc>
        <w:tc>
          <w:tcPr/>
          <w:p>
            <w:pPr>
              <w:pStyle w:val="Compact"/>
              <w:jc w:val="right"/>
            </w:pPr>
            <w:r>
              <w:t xml:space="preserve">Time (ms)</w:t>
            </w:r>
          </w:p>
        </w:tc>
      </w:tr>
      <w:tr>
        <w:tc>
          <w:tcPr/>
          <w:p>
            <w:pPr>
              <w:pStyle w:val="Compact"/>
            </w:pPr>
            <w:r>
              <w:t xml:space="preserve">Tier 1 LSTM inference (batched, n=30)</w:t>
            </w:r>
          </w:p>
        </w:tc>
        <w:tc>
          <w:tcPr/>
          <w:p>
            <w:pPr>
              <w:pStyle w:val="Compact"/>
            </w:pPr>
            <w:r>
              <w:t xml:space="preserve">O(h²·L)</w:t>
            </w:r>
          </w:p>
        </w:tc>
        <w:tc>
          <w:tcPr/>
          <w:p>
            <w:pPr>
              <w:pStyle w:val="Compact"/>
              <w:jc w:val="right"/>
            </w:pPr>
            <w:r>
              <w:t xml:space="preserve">0.09</w:t>
            </w:r>
          </w:p>
        </w:tc>
      </w:tr>
      <w:tr>
        <w:tc>
          <w:tcPr/>
          <w:p>
            <w:pPr>
              <w:pStyle w:val="Compact"/>
            </w:pPr>
            <w:r>
              <w:t xml:space="preserve">MAI scoring (n=30)</w:t>
            </w:r>
          </w:p>
        </w:tc>
        <w:tc>
          <w:tcPr/>
          <w:p>
            <w:pPr>
              <w:pStyle w:val="Compact"/>
            </w:pPr>
            <w:r>
              <w:t xml:space="preserve">O(k·n)</w:t>
            </w:r>
          </w:p>
        </w:tc>
        <w:tc>
          <w:tcPr/>
          <w:p>
            <w:pPr>
              <w:pStyle w:val="Compact"/>
              <w:jc w:val="right"/>
            </w:pPr>
            <w:r>
              <w:t xml:space="preserve">0.10</w:t>
            </w:r>
          </w:p>
        </w:tc>
      </w:tr>
      <w:tr>
        <w:tc>
          <w:tcPr/>
          <w:p>
            <w:pPr>
              <w:pStyle w:val="Compact"/>
            </w:pPr>
            <w:r>
              <w:t xml:space="preserve">SHA-256 hash chain (n=30)</w:t>
            </w:r>
          </w:p>
        </w:tc>
        <w:tc>
          <w:tcPr/>
          <w:p>
            <w:pPr>
              <w:pStyle w:val="Compact"/>
            </w:pPr>
            <w:r>
              <w:t xml:space="preserve">O(r·n)</w:t>
            </w:r>
          </w:p>
        </w:tc>
        <w:tc>
          <w:tcPr/>
          <w:p>
            <w:pPr>
              <w:pStyle w:val="Compact"/>
              <w:jc w:val="right"/>
            </w:pPr>
            <w:r>
              <w:t xml:space="preserve">0.03</w:t>
            </w:r>
          </w:p>
        </w:tc>
      </w:tr>
      <w:tr>
        <w:tc>
          <w:tcPr/>
          <w:p>
            <w:pPr>
              <w:pStyle w:val="Compact"/>
            </w:pPr>
            <w:r>
              <w:t xml:space="preserve">Digital twin action selection (n=30)</w:t>
            </w:r>
          </w:p>
        </w:tc>
        <w:tc>
          <w:tcPr/>
          <w:p>
            <w:pPr>
              <w:pStyle w:val="Compact"/>
            </w:pPr>
            <w:r>
              <w:t xml:space="preserve">O(|A|·k·n)</w:t>
            </w:r>
          </w:p>
        </w:tc>
        <w:tc>
          <w:tcPr/>
          <w:p>
            <w:pPr>
              <w:pStyle w:val="Compact"/>
              <w:jc w:val="right"/>
            </w:pPr>
            <w:r>
              <w:t xml:space="preserve">0.50</w:t>
            </w:r>
          </w:p>
        </w:tc>
      </w:tr>
      <w:tr>
        <w:tc>
          <w:tcPr/>
          <w:p>
            <w:pPr>
              <w:pStyle w:val="Compact"/>
            </w:pPr>
            <w:r>
              <w:t xml:space="preserve">PyTorch/Python runtime overhead</w:t>
            </w:r>
          </w:p>
        </w:tc>
        <w:tc>
          <w:tcPr/>
          <w:p>
            <w:pPr>
              <w:pStyle w:val="Compact"/>
            </w:pPr>
            <w:r>
              <w:t xml:space="preserve">—</w:t>
            </w:r>
          </w:p>
        </w:tc>
        <w:tc>
          <w:tcPr/>
          <w:p>
            <w:pPr>
              <w:pStyle w:val="Compact"/>
              <w:jc w:val="right"/>
            </w:pPr>
            <w:r>
              <w:t xml:space="preserve">10.78</w:t>
            </w:r>
          </w:p>
        </w:tc>
      </w:tr>
      <w:tr>
        <w:tc>
          <w:tcPr/>
          <w:p>
            <w:pPr>
              <w:pStyle w:val="Compact"/>
            </w:pPr>
            <w:r>
              <w:rPr>
                <w:b/>
                <w:bCs/>
              </w:rPr>
              <w:t xml:space="preserve">Total</w:t>
            </w:r>
          </w:p>
        </w:tc>
        <w:tc>
          <w:tcPr/>
          <w:p>
            <w:pPr>
              <w:pStyle w:val="Compact"/>
            </w:pPr>
            <w:r>
              <w:rPr>
                <w:b/>
                <w:bCs/>
              </w:rPr>
              <w:t xml:space="preserve">O(h²·L + k·n)</w:t>
            </w:r>
          </w:p>
        </w:tc>
        <w:tc>
          <w:tcPr/>
          <w:p>
            <w:pPr>
              <w:pStyle w:val="Compact"/>
              <w:jc w:val="right"/>
            </w:pPr>
            <w:r>
              <w:rPr>
                <w:b/>
                <w:bCs/>
              </w:rPr>
              <w:t xml:space="preserve">11.50</w:t>
            </w:r>
          </w:p>
        </w:tc>
      </w:tr>
    </w:tbl>
    <w:p>
      <w:pPr>
        <w:pStyle w:val="BodyText"/>
      </w:pPr>
      <w:r>
        <w:t xml:space="preserve">The total RA-MARS overhead of 11.5 ms per telemetry cycle represents 1.15% of the 1,000 ms MAVLink telemetry interval, and approximately 5 flight controller cycles at 400 Hz. The framework is therefore deployable on the Jetson Nano companion computer without interfering with the primary flight control loop.</w:t>
      </w:r>
    </w:p>
    <w:p>
      <w:pPr>
        <w:pStyle w:val="BodyText"/>
      </w:pPr>
      <w:r>
        <w:t xml:space="preserve">The dominant practical overhead is Python/PyTorch runtime (10.78 ms) rather than the algorithmic computation (0.72 ms). Migrating the LSTM inference to TensorRT on the Jetson Nano — which typically provides 3–5× speedup over PyTorch on Jetson hardware — would reduce total overhead to approximately 4–6 ms, further increasing the deployability margin. This optimisation is deferred to hardware-in-the-loop validation as future work.</w:t>
      </w:r>
    </w:p>
    <w:bookmarkEnd w:id="120"/>
    <w:bookmarkEnd w:id="121"/>
    <w:bookmarkStart w:id="126" w:name="limitations-and-future-work"/>
    <w:p>
      <w:pPr>
        <w:pStyle w:val="Heading1"/>
      </w:pPr>
      <w:r>
        <w:t xml:space="preserve">Limitations and Future Work</w:t>
      </w:r>
    </w:p>
    <w:bookmarkStart w:id="122" w:name="energy-model-1"/>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Flight mode</w:t>
            </w:r>
          </w:p>
        </w:tc>
        <w:tc>
          <w:tcPr/>
          <w:p>
            <w:pPr>
              <w:pStyle w:val="Compact"/>
            </w:pPr>
            <w:r>
              <w:t xml:space="preserve">Power draw</w:t>
            </w:r>
          </w:p>
        </w:tc>
      </w:tr>
      <w:tr>
        <w:tc>
          <w:tcPr/>
          <w:p>
            <w:pPr>
              <w:pStyle w:val="Compact"/>
            </w:pPr>
            <w:r>
              <w:t xml:space="preserve">Hover</w:t>
            </w:r>
          </w:p>
        </w:tc>
        <w:tc>
          <w:tcPr/>
          <w:p>
            <w:pPr>
              <w:pStyle w:val="Compact"/>
            </w:pPr>
            <w:r>
              <w:t xml:space="preserve">300 W</w:t>
            </w:r>
          </w:p>
        </w:tc>
      </w:tr>
      <w:tr>
        <w:tc>
          <w:tcPr/>
          <w:p>
            <w:pPr>
              <w:pStyle w:val="Compact"/>
            </w:pPr>
            <w:r>
              <w:t xml:space="preserve">Cruise (15 m/s)</w:t>
            </w:r>
          </w:p>
        </w:tc>
        <w:tc>
          <w:tcPr/>
          <w:p>
            <w:pPr>
              <w:pStyle w:val="Compact"/>
            </w:pPr>
            <w:r>
              <w:t xml:space="preserve">180 W</w:t>
            </w:r>
          </w:p>
        </w:tc>
      </w:tr>
      <w:tr>
        <w:tc>
          <w:tcPr/>
          <w:p>
            <w:pPr>
              <w:pStyle w:val="Compact"/>
            </w:pPr>
            <w:r>
              <w:t xml:space="preserve">Companion computer (Jetson Nano class)</w:t>
            </w:r>
          </w:p>
        </w:tc>
        <w:tc>
          <w:tcPr/>
          <w:p>
            <w:pPr>
              <w:pStyle w:val="Compact"/>
            </w:pPr>
            <w:r>
              <w:t xml:space="preserve">10 W</w:t>
            </w:r>
          </w:p>
        </w:tc>
      </w:tr>
      <w:tr>
        <w:tc>
          <w:tcPr/>
          <w:p>
            <w:pPr>
              <w:pStyle w:val="Compact"/>
            </w:pPr>
            <w:r>
              <w:t xml:space="preserve">Communication overhead</w:t>
            </w:r>
          </w:p>
        </w:tc>
        <w:tc>
          <w:tcPr/>
          <w:p>
            <w:pPr>
              <w:pStyle w:val="Compac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122"/>
    <w:bookmarkStart w:id="123" w:name="inter-uav-communication-model-1"/>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123"/>
    <w:bookmarkStart w:id="124"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24"/>
    <w:bookmarkStart w:id="125"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25"/>
    <w:bookmarkEnd w:id="126"/>
    <w:bookmarkStart w:id="127"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v4 evaluation used synthetic multi-UAV telemetry data with 90,000 sequence-safe telemetry rows and temporal non-leakage windows. Derived Mission Assurance Index and component scores were excluded from classifier inputs to avoid feature leakage. The Tier 1 Binary LSTM achieved 95.73% macro F1-score for real-time attack/normal detection, while the Tier 2 Weighted GRU achieved 60.07% macro F1-score for eight-class forensic attribution.</w:t>
      </w:r>
    </w:p>
    <w:p>
      <w:pPr>
        <w:pStyle w:val="BodyText"/>
      </w:pPr>
      <w:r>
        <w:t xml:space="preserve">At the mission level, full RA-MARS achieved a Mission Assurance Index of 0.7012 ± 0.0042 and a mission success rate of 73.61 ± 0.87%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27"/>
    <w:bookmarkStart w:id="128"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28"/>
    <w:bookmarkStart w:id="129"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29"/>
    <w:bookmarkStart w:id="186"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72" w:name="figures"/>
    <w:p>
      <w:pPr>
        <w:pStyle w:val="Heading2"/>
      </w:pPr>
      <w:r>
        <w:t xml:space="preserve">Figures</w:t>
      </w:r>
    </w:p>
    <w:p>
      <w:pPr>
        <w:pStyle w:val="CaptionedFigure"/>
      </w:pPr>
      <w:r>
        <w:drawing>
          <wp:inline>
            <wp:extent cx="5334000" cy="2872153"/>
            <wp:effectExtent b="0" l="0" r="0" t="0"/>
            <wp:docPr descr="Figure 1. RA-MARS cross-layer mission assurance digital twin architecture." title="" id="131" name="Picture"/>
            <a:graphic>
              <a:graphicData uri="http://schemas.openxmlformats.org/drawingml/2006/picture">
                <pic:pic>
                  <pic:nvPicPr>
                    <pic:cNvPr descr="figures/figure_v3_cross_layer_architecture.png" id="132" name="Picture"/>
                    <pic:cNvPicPr>
                      <a:picLocks noChangeArrowheads="1" noChangeAspect="1"/>
                    </pic:cNvPicPr>
                  </pic:nvPicPr>
                  <pic:blipFill>
                    <a:blip r:embed="rId13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34" name="Picture"/>
            <a:graphic>
              <a:graphicData uri="http://schemas.openxmlformats.org/drawingml/2006/picture">
                <pic:pic>
                  <pic:nvPicPr>
                    <pic:cNvPr descr="figures/ra_mars_threat_model.png" id="135" name="Picture"/>
                    <pic:cNvPicPr>
                      <a:picLocks noChangeArrowheads="1" noChangeAspect="1"/>
                    </pic:cNvPicPr>
                  </pic:nvPicPr>
                  <pic:blipFill>
                    <a:blip r:embed="rId13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closed-loop mission assurance workflow." title="" id="137" name="Picture"/>
            <a:graphic>
              <a:graphicData uri="http://schemas.openxmlformats.org/drawingml/2006/picture">
                <pic:pic>
                  <pic:nvPicPr>
                    <pic:cNvPr descr="figures/figure_v3_closed_loop_workflow.png" id="138" name="Picture"/>
                    <pic:cNvPicPr>
                      <a:picLocks noChangeArrowheads="1" noChangeAspect="1"/>
                    </pic:cNvPicPr>
                  </pic:nvPicPr>
                  <pic:blipFill>
                    <a:blip r:embed="rId1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closed-loop mission assurance workflow.</w:t>
      </w:r>
    </w:p>
    <w:p>
      <w:pPr>
        <w:pStyle w:val="CaptionedFigure"/>
      </w:pPr>
      <w:r>
        <w:drawing>
          <wp:inline>
            <wp:extent cx="5334000" cy="3733800"/>
            <wp:effectExtent b="0" l="0" r="0" t="0"/>
            <wp:docPr descr="Figure 4. Mission Assurance Index component model." title="" id="140" name="Picture"/>
            <a:graphic>
              <a:graphicData uri="http://schemas.openxmlformats.org/drawingml/2006/picture">
                <pic:pic>
                  <pic:nvPicPr>
                    <pic:cNvPr descr="figures/figure_v3_mission_assurance_index_components.png" id="141" name="Picture"/>
                    <pic:cNvPicPr>
                      <a:picLocks noChangeArrowheads="1" noChangeAspect="1"/>
                    </pic:cNvPicPr>
                  </pic:nvPicPr>
                  <pic:blipFill>
                    <a:blip r:embed="rId13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experimental evaluation pipeline." title="" id="143" name="Picture"/>
            <a:graphic>
              <a:graphicData uri="http://schemas.openxmlformats.org/drawingml/2006/picture">
                <pic:pic>
                  <pic:nvPicPr>
                    <pic:cNvPr descr="figures/figure_v3_experimental_pipeline.png" id="144" name="Picture"/>
                    <pic:cNvPicPr>
                      <a:picLocks noChangeArrowheads="1" noChangeAspect="1"/>
                    </pic:cNvPicPr>
                  </pic:nvPicPr>
                  <pic:blipFill>
                    <a:blip r:embed="rId142"/>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experimental evaluation pipeline.</w:t>
      </w:r>
    </w:p>
    <w:p>
      <w:pPr>
        <w:pStyle w:val="CaptionedFigure"/>
      </w:pPr>
      <w:r>
        <w:drawing>
          <wp:inline>
            <wp:extent cx="5334000" cy="2222500"/>
            <wp:effectExtent b="0" l="0" r="0" t="0"/>
            <wp:docPr descr="Figure 6. RA-MARS attack timeline with detection and recovery events." title="" id="146" name="Picture"/>
            <a:graphic>
              <a:graphicData uri="http://schemas.openxmlformats.org/drawingml/2006/picture">
                <pic:pic>
                  <pic:nvPicPr>
                    <pic:cNvPr descr="figures/figure_v3_attack_timeline.png" id="147" name="Picture"/>
                    <pic:cNvPicPr>
                      <a:picLocks noChangeArrowheads="1" noChangeAspect="1"/>
                    </pic:cNvPicPr>
                  </pic:nvPicPr>
                  <pic:blipFill>
                    <a:blip r:embed="rId14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attack timeline with detection and recovery events.</w:t>
      </w:r>
    </w:p>
    <w:p>
      <w:pPr>
        <w:pStyle w:val="CaptionedFigure"/>
      </w:pPr>
      <w:r>
        <w:drawing>
          <wp:inline>
            <wp:extent cx="5334000" cy="1747111"/>
            <wp:effectExtent b="0" l="0" r="0" t="0"/>
            <wp:docPr descr="Figure 7. RA-MARS v4 model comparison by macro F1-score." title="" id="149" name="Picture"/>
            <a:graphic>
              <a:graphicData uri="http://schemas.openxmlformats.org/drawingml/2006/picture">
                <pic:pic>
                  <pic:nvPicPr>
                    <pic:cNvPr descr="figures/fig07_model_comparison_v4.png" id="150" name="Picture"/>
                    <pic:cNvPicPr>
                      <a:picLocks noChangeArrowheads="1" noChangeAspect="1"/>
                    </pic:cNvPicPr>
                  </pic:nvPicPr>
                  <pic:blipFill>
                    <a:blip r:embed="rId148"/>
                    <a:stretch>
                      <a:fillRect/>
                    </a:stretch>
                  </pic:blipFill>
                  <pic:spPr bwMode="auto">
                    <a:xfrm>
                      <a:off x="0" y="0"/>
                      <a:ext cx="5334000" cy="1747111"/>
                    </a:xfrm>
                    <a:prstGeom prst="rect">
                      <a:avLst/>
                    </a:prstGeom>
                    <a:noFill/>
                    <a:ln w="9525">
                      <a:noFill/>
                      <a:headEnd/>
                      <a:tailEnd/>
                    </a:ln>
                  </pic:spPr>
                </pic:pic>
              </a:graphicData>
            </a:graphic>
          </wp:inline>
        </w:drawing>
      </w:r>
    </w:p>
    <w:p>
      <w:pPr>
        <w:pStyle w:val="ImageCaption"/>
      </w:pPr>
      <w:r>
        <w:t xml:space="preserve">Figure 7. RA-MARS v4 model comparison by macro F1-score.</w:t>
      </w:r>
    </w:p>
    <w:p>
      <w:pPr>
        <w:pStyle w:val="CaptionedFigure"/>
      </w:pPr>
      <w:r>
        <w:drawing>
          <wp:inline>
            <wp:extent cx="4347597" cy="3463728"/>
            <wp:effectExtent b="0" l="0" r="0" t="0"/>
            <wp:docPr descr="Figure 8. Binary LSTM confusion matrix — attack/normal classification (95.73% macro F1)." title="" id="152" name="Picture"/>
            <a:graphic>
              <a:graphicData uri="http://schemas.openxmlformats.org/drawingml/2006/picture">
                <pic:pic>
                  <pic:nvPicPr>
                    <pic:cNvPr descr="figures/fig08_confusion_matrix_binary_v4.png" id="153" name="Picture"/>
                    <pic:cNvPicPr>
                      <a:picLocks noChangeArrowheads="1" noChangeAspect="1"/>
                    </pic:cNvPicPr>
                  </pic:nvPicPr>
                  <pic:blipFill>
                    <a:blip r:embed="rId151"/>
                    <a:stretch>
                      <a:fillRect/>
                    </a:stretch>
                  </pic:blipFill>
                  <pic:spPr bwMode="auto">
                    <a:xfrm>
                      <a:off x="0" y="0"/>
                      <a:ext cx="4347597" cy="3463728"/>
                    </a:xfrm>
                    <a:prstGeom prst="rect">
                      <a:avLst/>
                    </a:prstGeom>
                    <a:noFill/>
                    <a:ln w="9525">
                      <a:noFill/>
                      <a:headEnd/>
                      <a:tailEnd/>
                    </a:ln>
                  </pic:spPr>
                </pic:pic>
              </a:graphicData>
            </a:graphic>
          </wp:inline>
        </w:drawing>
      </w:r>
    </w:p>
    <w:p>
      <w:pPr>
        <w:pStyle w:val="ImageCaption"/>
      </w:pPr>
      <w:r>
        <w:t xml:space="preserve">Figure 8. Binary LSTM confusion matrix — attack/normal classification (95.73% macro F1).</w:t>
      </w:r>
    </w:p>
    <w:p>
      <w:pPr>
        <w:pStyle w:val="CaptionedFigure"/>
      </w:pPr>
      <w:r>
        <w:drawing>
          <wp:inline>
            <wp:extent cx="5334000" cy="2798952"/>
            <wp:effectExtent b="0" l="0" r="0" t="0"/>
            <wp:docPr descr="Figure 9. Per-class precision, recall and F1-score — Weighted LSTM." title="" id="155" name="Picture"/>
            <a:graphic>
              <a:graphicData uri="http://schemas.openxmlformats.org/drawingml/2006/picture">
                <pic:pic>
                  <pic:nvPicPr>
                    <pic:cNvPr descr="figures/fig09_per_class_f1_weighted_lstm.png" id="156" name="Picture"/>
                    <pic:cNvPicPr>
                      <a:picLocks noChangeArrowheads="1" noChangeAspect="1"/>
                    </pic:cNvPicPr>
                  </pic:nvPicPr>
                  <pic:blipFill>
                    <a:blip r:embed="rId154"/>
                    <a:stretch>
                      <a:fillRect/>
                    </a:stretch>
                  </pic:blipFill>
                  <pic:spPr bwMode="auto">
                    <a:xfrm>
                      <a:off x="0" y="0"/>
                      <a:ext cx="5334000" cy="2798952"/>
                    </a:xfrm>
                    <a:prstGeom prst="rect">
                      <a:avLst/>
                    </a:prstGeom>
                    <a:noFill/>
                    <a:ln w="9525">
                      <a:noFill/>
                      <a:headEnd/>
                      <a:tailEnd/>
                    </a:ln>
                  </pic:spPr>
                </pic:pic>
              </a:graphicData>
            </a:graphic>
          </wp:inline>
        </w:drawing>
      </w:r>
    </w:p>
    <w:p>
      <w:pPr>
        <w:pStyle w:val="ImageCaption"/>
      </w:pPr>
      <w:r>
        <w:t xml:space="preserve">Figure 9. Per-class precision, recall and F1-score — Weighted LSTM.</w:t>
      </w:r>
    </w:p>
    <w:p>
      <w:pPr>
        <w:pStyle w:val="CaptionedFigure"/>
      </w:pPr>
      <w:r>
        <w:drawing>
          <wp:inline>
            <wp:extent cx="5334000" cy="2028878"/>
            <wp:effectExtent b="0" l="0" r="0" t="0"/>
            <wp:docPr descr="Figure 10. Ablation study — component contribution to mission performance (95% CI, 30 runs) for mission success." title="" id="158" name="Picture"/>
            <a:graphic>
              <a:graphicData uri="http://schemas.openxmlformats.org/drawingml/2006/picture">
                <pic:pic>
                  <pic:nvPicPr>
                    <pic:cNvPr descr="figures/fig10_ablation_v4.png" id="159" name="Picture"/>
                    <pic:cNvPicPr>
                      <a:picLocks noChangeArrowheads="1" noChangeAspect="1"/>
                    </pic:cNvPicPr>
                  </pic:nvPicPr>
                  <pic:blipFill>
                    <a:blip r:embed="rId157"/>
                    <a:stretch>
                      <a:fillRect/>
                    </a:stretch>
                  </pic:blipFill>
                  <pic:spPr bwMode="auto">
                    <a:xfrm>
                      <a:off x="0" y="0"/>
                      <a:ext cx="5334000" cy="2028878"/>
                    </a:xfrm>
                    <a:prstGeom prst="rect">
                      <a:avLst/>
                    </a:prstGeom>
                    <a:noFill/>
                    <a:ln w="9525">
                      <a:noFill/>
                      <a:headEnd/>
                      <a:tailEnd/>
                    </a:ln>
                  </pic:spPr>
                </pic:pic>
              </a:graphicData>
            </a:graphic>
          </wp:inline>
        </w:drawing>
      </w:r>
    </w:p>
    <w:p>
      <w:pPr>
        <w:pStyle w:val="ImageCaption"/>
      </w:pPr>
      <w:r>
        <w:t xml:space="preserve">Figure 10. Ablation study — component contribution to mission performance (95% CI, 30 runs) for mission success.</w:t>
      </w:r>
    </w:p>
    <w:p>
      <w:pPr>
        <w:pStyle w:val="CaptionedFigure"/>
      </w:pPr>
      <w:r>
        <w:drawing>
          <wp:inline>
            <wp:extent cx="5334000" cy="1751361"/>
            <wp:effectExtent b="0" l="0" r="0" t="0"/>
            <wp:docPr descr="Figure 11. Scalability analysis — mission performance across 10, 20 and 30 UAV swarm sizes (95% CI) by UAV count." title="" id="161" name="Picture"/>
            <a:graphic>
              <a:graphicData uri="http://schemas.openxmlformats.org/drawingml/2006/picture">
                <pic:pic>
                  <pic:nvPicPr>
                    <pic:cNvPr descr="figures/fig11_scalability_v4.png" id="162" name="Picture"/>
                    <pic:cNvPicPr>
                      <a:picLocks noChangeArrowheads="1" noChangeAspect="1"/>
                    </pic:cNvPicPr>
                  </pic:nvPicPr>
                  <pic:blipFill>
                    <a:blip r:embed="rId160"/>
                    <a:stretch>
                      <a:fillRect/>
                    </a:stretch>
                  </pic:blipFill>
                  <pic:spPr bwMode="auto">
                    <a:xfrm>
                      <a:off x="0" y="0"/>
                      <a:ext cx="5334000" cy="1751361"/>
                    </a:xfrm>
                    <a:prstGeom prst="rect">
                      <a:avLst/>
                    </a:prstGeom>
                    <a:noFill/>
                    <a:ln w="9525">
                      <a:noFill/>
                      <a:headEnd/>
                      <a:tailEnd/>
                    </a:ln>
                  </pic:spPr>
                </pic:pic>
              </a:graphicData>
            </a:graphic>
          </wp:inline>
        </w:drawing>
      </w:r>
    </w:p>
    <w:p>
      <w:pPr>
        <w:pStyle w:val="ImageCaption"/>
      </w:pPr>
      <w:r>
        <w:t xml:space="preserve">Figure 11. Scalability analysis — mission performance across 10, 20 and 30 UAV swarm sizes (95% CI) by UAV count.</w:t>
      </w:r>
    </w:p>
    <w:p>
      <w:pPr>
        <w:pStyle w:val="CaptionedFigure"/>
      </w:pPr>
      <w:r>
        <w:drawing>
          <wp:inline>
            <wp:extent cx="5334000" cy="2109086"/>
            <wp:effectExtent b="0" l="0" r="0" t="0"/>
            <wp:docPr descr="Figure 12. Attack intensity stress test — mission performance under none, low, medium and high intensity attacks (95% CI)." title="" id="164" name="Picture"/>
            <a:graphic>
              <a:graphicData uri="http://schemas.openxmlformats.org/drawingml/2006/picture">
                <pic:pic>
                  <pic:nvPicPr>
                    <pic:cNvPr descr="figures/fig12_attack_intensity_v4.png" id="165" name="Picture"/>
                    <pic:cNvPicPr>
                      <a:picLocks noChangeArrowheads="1" noChangeAspect="1"/>
                    </pic:cNvPicPr>
                  </pic:nvPicPr>
                  <pic:blipFill>
                    <a:blip r:embed="rId163"/>
                    <a:stretch>
                      <a:fillRect/>
                    </a:stretch>
                  </pic:blipFill>
                  <pic:spPr bwMode="auto">
                    <a:xfrm>
                      <a:off x="0" y="0"/>
                      <a:ext cx="5334000" cy="2109086"/>
                    </a:xfrm>
                    <a:prstGeom prst="rect">
                      <a:avLst/>
                    </a:prstGeom>
                    <a:noFill/>
                    <a:ln w="9525">
                      <a:noFill/>
                      <a:headEnd/>
                      <a:tailEnd/>
                    </a:ln>
                  </pic:spPr>
                </pic:pic>
              </a:graphicData>
            </a:graphic>
          </wp:inline>
        </w:drawing>
      </w:r>
    </w:p>
    <w:p>
      <w:pPr>
        <w:pStyle w:val="ImageCaption"/>
      </w:pPr>
      <w:r>
        <w:t xml:space="preserve">Figure 12. Attack intensity stress test — mission performance under none, low, medium and high intensity attacks (95% CI).</w:t>
      </w:r>
    </w:p>
    <w:p>
      <w:pPr>
        <w:pStyle w:val="CaptionedFigure"/>
      </w:pPr>
      <w:r>
        <w:drawing>
          <wp:inline>
            <wp:extent cx="5334000" cy="2105454"/>
            <wp:effectExtent b="0" l="0" r="0" t="0"/>
            <wp:docPr descr="Figure 13. Adversarial robustness — binary LSTM classifier (clean F1=0.957) under FGSM and PGD white-box attacks. F1 drops below 0.31 at ε=0.01, motivating adversarial training as future work." title="" id="167" name="Picture"/>
            <a:graphic>
              <a:graphicData uri="http://schemas.openxmlformats.org/drawingml/2006/picture">
                <pic:pic>
                  <pic:nvPicPr>
                    <pic:cNvPr descr="figures/fig13_adversarial_robustness_v4.png" id="168" name="Picture"/>
                    <pic:cNvPicPr>
                      <a:picLocks noChangeArrowheads="1" noChangeAspect="1"/>
                    </pic:cNvPicPr>
                  </pic:nvPicPr>
                  <pic:blipFill>
                    <a:blip r:embed="rId166"/>
                    <a:stretch>
                      <a:fillRect/>
                    </a:stretch>
                  </pic:blipFill>
                  <pic:spPr bwMode="auto">
                    <a:xfrm>
                      <a:off x="0" y="0"/>
                      <a:ext cx="5334000" cy="2105454"/>
                    </a:xfrm>
                    <a:prstGeom prst="rect">
                      <a:avLst/>
                    </a:prstGeom>
                    <a:noFill/>
                    <a:ln w="9525">
                      <a:noFill/>
                      <a:headEnd/>
                      <a:tailEnd/>
                    </a:ln>
                  </pic:spPr>
                </pic:pic>
              </a:graphicData>
            </a:graphic>
          </wp:inline>
        </w:drawing>
      </w:r>
    </w:p>
    <w:p>
      <w:pPr>
        <w:pStyle w:val="ImageCaption"/>
      </w:pPr>
      <w:r>
        <w:t xml:space="preserve">Figure 13. Adversarial robustness — binary LSTM classifier (clean F1=0.957) under FGSM and PGD white-box attacks. F1 drops below 0.31 at ε=0.01, motivating adversarial training as future work.</w:t>
      </w:r>
    </w:p>
    <w:p>
      <w:pPr>
        <w:pStyle w:val="CaptionedFigure"/>
      </w:pPr>
      <w:r>
        <w:drawing>
          <wp:inline>
            <wp:extent cx="5334000" cy="1748345"/>
            <wp:effectExtent b="0" l="0" r="0" t="0"/>
            <wp:docPr descr="Figure 14. RF channel model validation — SINR, PDR and latency under Friis path loss with jammer ERP model." title="" id="170" name="Picture"/>
            <a:graphic>
              <a:graphicData uri="http://schemas.openxmlformats.org/drawingml/2006/picture">
                <pic:pic>
                  <pic:nvPicPr>
                    <pic:cNvPr descr="figures/fig05_rf_channel_validation_v4.png" id="171" name="Picture"/>
                    <pic:cNvPicPr>
                      <a:picLocks noChangeArrowheads="1" noChangeAspect="1"/>
                    </pic:cNvPicPr>
                  </pic:nvPicPr>
                  <pic:blipFill>
                    <a:blip r:embed="rId169"/>
                    <a:stretch>
                      <a:fillRect/>
                    </a:stretch>
                  </pic:blipFill>
                  <pic:spPr bwMode="auto">
                    <a:xfrm>
                      <a:off x="0" y="0"/>
                      <a:ext cx="5334000" cy="1748345"/>
                    </a:xfrm>
                    <a:prstGeom prst="rect">
                      <a:avLst/>
                    </a:prstGeom>
                    <a:noFill/>
                    <a:ln w="9525">
                      <a:noFill/>
                      <a:headEnd/>
                      <a:tailEnd/>
                    </a:ln>
                  </pic:spPr>
                </pic:pic>
              </a:graphicData>
            </a:graphic>
          </wp:inline>
        </w:drawing>
      </w:r>
    </w:p>
    <w:p>
      <w:pPr>
        <w:pStyle w:val="ImageCaption"/>
      </w:pPr>
      <w:r>
        <w:t xml:space="preserve">Figure 14. RF channel model validation — SINR, PDR and latency under Friis path loss with jammer ERP model.</w:t>
      </w:r>
    </w:p>
    <w:bookmarkEnd w:id="172"/>
    <w:bookmarkStart w:id="185"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334000" cy="2963333"/>
            <wp:effectExtent b="0" l="0" r="0" t="0"/>
            <wp:docPr descr="Supplementary Figure S1. PX4-style mission assurance index over time across attack intervals." title="" id="174" name="Picture"/>
            <a:graphic>
              <a:graphicData uri="http://schemas.openxmlformats.org/drawingml/2006/picture">
                <pic:pic>
                  <pic:nvPicPr>
                    <pic:cNvPr descr="figures/px4_style_mission_assurance_index.png" id="175" name="Picture"/>
                    <pic:cNvPicPr>
                      <a:picLocks noChangeArrowheads="1" noChangeAspect="1"/>
                    </pic:cNvPicPr>
                  </pic:nvPicPr>
                  <pic:blipFill>
                    <a:blip r:embed="rId17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334000" cy="2963333"/>
            <wp:effectExtent b="0" l="0" r="0" t="0"/>
            <wp:docPr descr="Supplementary Figure S2. PX4-style attack timeline showing jamming, spoofing, tampering, and combined attack intervals with MAI response." title="" id="177" name="Picture"/>
            <a:graphic>
              <a:graphicData uri="http://schemas.openxmlformats.org/drawingml/2006/picture">
                <pic:pic>
                  <pic:nvPicPr>
                    <pic:cNvPr descr="figures/px4_style_attack_timeline.png" id="178" name="Picture"/>
                    <pic:cNvPicPr>
                      <a:picLocks noChangeArrowheads="1" noChangeAspect="1"/>
                    </pic:cNvPicPr>
                  </pic:nvPicPr>
                  <pic:blipFill>
                    <a:blip r:embed="rId17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334000" cy="3333749"/>
            <wp:effectExtent b="0" l="0" r="0" t="0"/>
            <wp:docPr descr="Supplementary Figure S3. PX4-style digital twin action selection across mission intervals." title="" id="180" name="Picture"/>
            <a:graphic>
              <a:graphicData uri="http://schemas.openxmlformats.org/drawingml/2006/picture">
                <pic:pic>
                  <pic:nvPicPr>
                    <pic:cNvPr descr="figures/px4_style_action_selection.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334000" cy="4000499"/>
            <wp:effectExtent b="0" l="0" r="0" t="0"/>
            <wp:docPr descr="Supplementary Figure S4. PX4-style UAV mission trajectories under normal and spoofing-like attack conditions." title="" id="183" name="Picture"/>
            <a:graphic>
              <a:graphicData uri="http://schemas.openxmlformats.org/drawingml/2006/picture">
                <pic:pic>
                  <pic:nvPicPr>
                    <pic:cNvPr descr="figures/px4_style_mission_trajectories.png" id="184" name="Picture"/>
                    <pic:cNvPicPr>
                      <a:picLocks noChangeArrowheads="1" noChangeAspect="1"/>
                    </pic:cNvPicPr>
                  </pic:nvPicPr>
                  <pic:blipFill>
                    <a:blip r:embed="rId1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85"/>
    <w:bookmarkEnd w:id="186"/>
    <w:bookmarkStart w:id="187" w:name="author-contributions"/>
    <w:p>
      <w:pPr>
        <w:pStyle w:val="Heading1"/>
      </w:pPr>
      <w:r>
        <w:t xml:space="preserve">Author Contributions</w:t>
      </w:r>
    </w:p>
    <w:p>
      <w:pPr>
        <w:pStyle w:val="FirstParagraph"/>
      </w:pPr>
      <w:r>
        <w:rPr>
          <w:b/>
          <w:bCs/>
        </w:rPr>
        <w:t xml:space="preserve">Dr. Sai Krishna Thota:</w:t>
      </w:r>
      <w:r>
        <w:t xml:space="preserve"> </w:t>
      </w:r>
      <w:r>
        <w:t xml:space="preserve">Conceptualization, Methodology, Software, Validation, Formal analysis, Investigation, Data curation, Writing — original draft, Writing — review and editing, Visualization.</w:t>
      </w:r>
    </w:p>
    <w:bookmarkEnd w:id="187"/>
    <w:bookmarkStart w:id="188" w:name="declaration-of-competing-interests"/>
    <w:p>
      <w:pPr>
        <w:pStyle w:val="Heading1"/>
      </w:pPr>
      <w:r>
        <w:t xml:space="preserve">Declaration of Competing Interests</w:t>
      </w:r>
    </w:p>
    <w:p>
      <w:pPr>
        <w:pStyle w:val="FirstParagraph"/>
      </w:pPr>
      <w:r>
        <w:t xml:space="preserve">The author declares that there are no known competing financial interests or personal relationships that could have appeared to influence the work reported in this paper.</w:t>
      </w:r>
    </w:p>
    <w:bookmarkEnd w:id="188"/>
    <w:bookmarkStart w:id="18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89"/>
    <w:bookmarkStart w:id="191"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90" w:name="references"/>
    <w:p>
      <w:pPr>
        <w:pStyle w:val="Heading2"/>
      </w:pPr>
      <w:r>
        <w:t xml:space="preserve">References</w:t>
      </w:r>
    </w:p>
    <w:p>
      <w:pPr>
        <w:pStyle w:val="FirstParagraph"/>
      </w:pPr>
      <w:r>
        <w:t xml:space="preserve">[1] P. Stodola, J. Nohel, and L. Horák, “Dynamic reconnaissance operations with UAV swarms: adapting to environmental changes,” Sci. Rep., vol. 15, article 15092, 2025, doi: 10.1038/s41598-025-00201-4.</w:t>
      </w:r>
    </w:p>
    <w:p>
      <w:pPr>
        <w:pStyle w:val="BodyText"/>
      </w:pPr>
      <w:r>
        <w:t xml:space="preserve">[2] S. Bi, K. Li, S. Hu, W. Ni, C. Wang, and X. Wang, “Detection and Mitigation of Position Spoofing Attacks on Cooperative UAV Swarm Formations,” IEEE Trans. Inf. Forensics Secur.,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 Wirel. Commun.,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 Inf. Forensics Secur., vol. 19, pp. 6824–6839, 2024, doi: 10.1109/TIFS.2024.3423428.</w:t>
      </w:r>
    </w:p>
    <w:p>
      <w:pPr>
        <w:pStyle w:val="BodyText"/>
      </w:pPr>
      <w:r>
        <w:t xml:space="preserve">[9] C. Greco, P. Pace, S. Basagni, and G. Fortino, “Jamming Detection at the Edge of Drone Networks Using Multi-layer Perceptrons and Decision Trees,” Appl. Soft Comput.,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 Mob. Comput., vol. 23, no. 12, pp. 13358–13374, 2024, doi: 10.1109/TMC.2024.3432491.</w:t>
      </w:r>
    </w:p>
    <w:p>
      <w:pPr>
        <w:pStyle w:val="BodyText"/>
      </w:pPr>
      <w:r>
        <w:t xml:space="preserve">[11] Z. Yu, Z. Wang, J. Yu, D. Liu, H. H. Song, and Z. Li, “Cybersecurity of Unmanned Aerial Vehicles: A Survey,” IEEE Aerosp. Electron. Syst. Mag., vol. 39, no. 9, pp. 182–215, 2024, doi: 10.1109/MAES.2023.3318226.</w:t>
      </w:r>
    </w:p>
    <w:p>
      <w:pPr>
        <w:pStyle w:val="BodyText"/>
      </w:pPr>
      <w:r>
        <w:t xml:space="preserve">[12] Y. Mekdad, A. Aris, L. Babun, A. El Fergougui, M. Conti, R. Lazzeretti, et al., “A Survey on Security and Privacy Issues of UAVs,” Comput. Netw., vol. 224, article 109626, 2023, doi: 10.1016/j.comnet.2023.109626.</w:t>
      </w:r>
    </w:p>
    <w:p>
      <w:pPr>
        <w:pStyle w:val="BodyText"/>
      </w:pPr>
      <w:r>
        <w:t xml:space="preserve">[13] Z. Wang, K. Han, Y. Yang, and W. Tian, “A Survey on Cybersecurity Attacks and Defenses for Unmanned Aerial Systems,” J. Syst. Archit., vol. 138, article 102870, 2023, doi: 10.1016/j.sysarc.2023.102870.</w:t>
      </w:r>
    </w:p>
    <w:p>
      <w:pPr>
        <w:pStyle w:val="BodyText"/>
      </w:pPr>
      <w:r>
        <w:t xml:space="preserve">[14] N. Bai, S. Wang, T. Zhang, N. N. Xiong, and S. Li, “A Survey on Unmanned Aerial Systems Cybersecurity,” J. Syst. Archit., vol. 156, article 103282, 2024, doi: 10.1016/j.sysarc.2024.103282.</w:t>
      </w:r>
    </w:p>
    <w:p>
      <w:pPr>
        <w:pStyle w:val="BodyText"/>
      </w:pPr>
      <w:r>
        <w:t xml:space="preserve">[15] R. Sarenche, F. Aghili, T. Yoshizawa, and D. Singelée, “DASLog: Decentralized Auditable Secure Logging for UAV Ecosystems,” IEEE Internet Things J., vol. 10, no. 23, pp. 20264–20284, 2023, doi: 10.1109/JIOT.2023.3281263.</w:t>
      </w:r>
    </w:p>
    <w:p>
      <w:pPr>
        <w:pStyle w:val="BodyText"/>
      </w:pPr>
      <w:r>
        <w:t xml:space="preserve">[16] R. Karmakar, G. Kaddoum, and O. Akhrif, “A Blockchain-Based Distributed and Intelligent Clustering-Enabled Authentication Protocol for UAV Swarms,” IEEE Trans. Mob. Comput., vol. 23, no. 5, pp. 6178–6195, 2024, doi: 10.1109/TMC.2023.3319544.</w:t>
      </w:r>
    </w:p>
    <w:p>
      <w:pPr>
        <w:pStyle w:val="BodyText"/>
      </w:pPr>
      <w:r>
        <w:t xml:space="preserve">[17] R. Xiong, Q. Xiao, Z. Wang, Z. Xu, and F. Shan, “Leveraging Lightweight Blockchain for Secure Collaborative Computing in UAV Ad-Hoc Networks,” Comput. Netw.,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 Sel. Areas Commun., vol. 40, no. 12, pp. 3470–3484, 2022, doi: 10.1109/JSAC.2022.3213360.</w:t>
      </w:r>
    </w:p>
    <w:p>
      <w:pPr>
        <w:pStyle w:val="BodyText"/>
      </w:pPr>
      <w:r>
        <w:t xml:space="preserve">[19] S. Hafeez, A. R. Khan, M. Al-Quraan, L. Mohjazi, A. Zoha, M. A. Imran, et al., “Blockchain-Assisted UAV Communication Systems: A Comprehensive Survey,” IEEE Open J. Veh. Technol., vol. 4, pp. 558–580, 2023, doi: 10.1109/OJVT.2023.3295208.</w:t>
      </w:r>
    </w:p>
    <w:p>
      <w:pPr>
        <w:pStyle w:val="BodyText"/>
      </w:pPr>
      <w:r>
        <w:t xml:space="preserve">[20] L. Liu and J. Yang, “A Dynamic Mission Abort Policy for the Swarm Executing Missions and Its Solution Method by Tailored Deep Reinforcement Learning,” Reliab. Eng. Syst. Saf., vol. 234, article 109149, 2023, doi: 10.1016/j.ress.2023.109149.</w:t>
      </w:r>
    </w:p>
    <w:p>
      <w:pPr>
        <w:pStyle w:val="BodyText"/>
      </w:pPr>
      <w:r>
        <w:t xml:space="preserve">[21] X. Zhou, Y. Huang, G. Bai, B. Xu, and J. Tao, “The Resilience Evaluation of Unmanned Autonomous Swarm with Informed Agents under Partial Failure,” Reliab. Eng. Syst. Saf., vol. 244, article 109920, 2024, doi: 10.1016/j.ress.2023.109920.</w:t>
      </w:r>
    </w:p>
    <w:p>
      <w:pPr>
        <w:pStyle w:val="BodyText"/>
      </w:pPr>
      <w:r>
        <w:t xml:space="preserve">[22] T. Liu, G. Bai, J. Tao, Y.-A. Zhang, and Y. Fang, “A Multistate Network Approach for Resilience Analysis of UAV Swarm Considering Information Exchange Capacity,” Reliab. Eng. Syst. Saf.,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 Eng. Syst. Saf., vol. 242, article 109749, 2024, doi: 10.1016/j.ress.2023.109749.</w:t>
      </w:r>
    </w:p>
    <w:p>
      <w:pPr>
        <w:pStyle w:val="BodyText"/>
      </w:pPr>
      <w:r>
        <w:t xml:space="preserve">[24] C. Zhang, T. Liu, G. Bai, J. Tao, and W. Zhu, “A Dynamic Resilience Evaluation Method for Cross-Domain Swarms in Confrontation,” Reliab. Eng. Syst. Saf., vol. 244, article 109904, 2024, doi: 10.1016/j.ress.2023.109904.</w:t>
      </w:r>
    </w:p>
    <w:p>
      <w:pPr>
        <w:pStyle w:val="BodyText"/>
      </w:pPr>
      <w:r>
        <w:t xml:space="preserve">[25] S. C. Hassler, U. A. Mughal, and M. Ismail, “Cyber-Physical Intrusion Detection System for Unmanned Aerial Vehicles,” IEEE Trans. Intell. Transp. Syst., vol. 25, no. 6, pp. 6106–6117, 2024, doi: 10.1109/TITS.2023.3339728.</w:t>
      </w:r>
    </w:p>
    <w:p>
      <w:pPr>
        <w:pStyle w:val="BodyText"/>
      </w:pPr>
      <w:r>
        <w:t xml:space="preserve">[26] H. J. Hadi, Y. Cao, S. Li, Y. Hu, J. Wang, and S. Wang, “Real-Time Collaborative Intrusion Detection System in UAV Networks Using Deep Learning,” IEEE Internet Things J., vol. 11, no. 20, pp. 33371–33391, 2024, doi: 10.1109/JIOT.2024.3426511.</w:t>
      </w:r>
    </w:p>
    <w:p>
      <w:pPr>
        <w:pStyle w:val="BodyText"/>
      </w:pPr>
      <w:r>
        <w:t xml:space="preserve">[27] R. A. AL-Syouf, R. M. Bani-Hani, and O. Y. AL-Jarrah, “Machine Learning Approaches to Intrusion Detection in Unmanned Aerial Vehicles (UAVs),” Neural Comput. Appl., vol. 36, no. 29, pp. 18009–18041, 2024, doi: 10.1007/s00521-024-10306-y.</w:t>
      </w:r>
    </w:p>
    <w:p>
      <w:pPr>
        <w:pStyle w:val="BodyText"/>
      </w:pPr>
      <w:r>
        <w:t xml:space="preserve">[28] J. Medhi, R. Liu, Q. Wang, and X. Chen, “A Lightweight and Efficient Intrusion Detection System (IDS) for Unmanned Aerial Vehicles,” Neural Comput. Appl., vol. 37, no. 20, pp. 15819–15836, 2025, doi: 10.1007/s00521-025-11276-5.</w:t>
      </w:r>
    </w:p>
    <w:p>
      <w:pPr>
        <w:pStyle w:val="BodyText"/>
      </w:pPr>
      <w:r>
        <w:t xml:space="preserve">[29] Y. Luo, Y. Xiao, L. Cheng, G. Peng, and D. Yao, “Deep Learning-Based Anomaly Detection in Cyber-Physical Systems: Progress and Opportunities,” ACM Comput. Surv.,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 Veh. Technol.,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 Green Commun. Netw., vol. 8, no. 4, pp. 1796–1808, 2024, doi: 10.1109/TGCN.2024.3373886.</w:t>
      </w:r>
    </w:p>
    <w:p>
      <w:pPr>
        <w:pStyle w:val="BodyText"/>
      </w:pPr>
      <w:r>
        <w:t xml:space="preserve">[32] Y. Su, N. Qi, Z. Huang, R. Yao, and L. Jia, “Cooperative Anti-Jamming and Interference Mitigation for UAV Networks: A Local Altruistic Game Approach,” China Commun.,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 Veh. Technol., vol. 74, pp. 7351–7363, 2025, doi: 10.1109/TVT.2025.3529036.</w:t>
      </w:r>
    </w:p>
    <w:p>
      <w:pPr>
        <w:pStyle w:val="BodyText"/>
      </w:pPr>
      <w:r>
        <w:t xml:space="preserve">[34] X. Ma, M. Gao, Y. Zhao, and M. Yu, “A Novel Navigation Spoofing Algorithm for UAV Based on GPS/INS-Integrated Navigation,” IEEE Trans. Veh. Technol.,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et al., “GNSS-Denied Unmanned Aerial Vehicle Navigation: Analyzing Computational Complexity, Sensor Fusion, and Localization Methodologies,” Satell. Navig., vol. 6, article 9, 2025, doi: 10.1186/s43020-025-00162-z.</w:t>
      </w:r>
    </w:p>
    <w:p>
      <w:pPr>
        <w:pStyle w:val="BodyText"/>
      </w:pPr>
      <w:r>
        <w:t xml:space="preserve">[37] C. Meng, Q. Hu, S. S. Ge, and D. Li, “Trusted Multisource Fusion Navigation for UAV Under GNSS Interference and Spoofing Attacks,” IEEE/ASME Trans. Mechatron., vol. 30, no. 6, pp. 4165–4175, 2025, doi: 10.1109/TMECH.2025.3570315.</w:t>
      </w:r>
    </w:p>
    <w:p>
      <w:pPr>
        <w:pStyle w:val="BodyText"/>
      </w:pPr>
      <w:r>
        <w:t xml:space="preserve">[38] Y. Zeng, Z. Lu, X. Zhao, Z. Xiao, S. Ni, Z. Han, et al., “GNSS Jamming and Spoofing Threats in UAV Navigation: Countermeasure Status and Challenges,” IEEE Commun. Surv. Tutor., vol. 28, pp. 5909–5948, 2025, doi: 10.1109/COMST.2026.3680438.</w:t>
      </w:r>
    </w:p>
    <w:p>
      <w:pPr>
        <w:pStyle w:val="BodyText"/>
      </w:pPr>
      <w:r>
        <w:t xml:space="preserve">[39] B. Zhao, M. Huo, Z. Li, W. Feng, Z. Yu, N. Qi, and S. Wang, “Graph-Based Multi-Agent Reinforcement Learning for Collaborative Search and Tracking of Multiple UAVs,” Chin. J. Aeronaut.,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 J. Aeronaut., vol. 37, no. 6, pp. 182–204, 2024, doi: 10.1016/j.cja.2023.12.027.</w:t>
      </w:r>
    </w:p>
    <w:p>
      <w:pPr>
        <w:pStyle w:val="BodyText"/>
      </w:pPr>
      <w:r>
        <w:t xml:space="preserve">[41] D. Liu, L. Dou, R. Zhang, X. Zhang, and Q. Zong, “Multi-Agent Reinforcement Learning-Based Coordinated Dynamic Task Allocation for Heterogeneous UAVs,” IEEE Trans. Veh. Technol.,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 J. Aeronaut., article 103846, 2025, doi: 10.1016/j.cja.2025.103846.</w:t>
      </w:r>
    </w:p>
    <w:p>
      <w:pPr>
        <w:pStyle w:val="BodyText"/>
      </w:pPr>
      <w:r>
        <w:t xml:space="preserve">[43] X. Wang, Z. Zhao, L. Yi, Z. Ning, L. Guo, F. R. Yu, and S. Guo, “A Survey on Security of UAV Swarm Networks: Attacks and Countermeasures,” ACM Comput. Surv., vol. 57, no. 3, article 74, pp. 1–37, 2024, doi: 10.1145/3703625.</w:t>
      </w:r>
    </w:p>
    <w:p>
      <w:pPr>
        <w:pStyle w:val="BodyText"/>
      </w:pPr>
      <w:r>
        <w:t xml:space="preserve">[44] E. Glaessgen and D. Stargel,</w:t>
      </w:r>
      <w:r>
        <w:t xml:space="preserve"> </w:t>
      </w:r>
      <w:r>
        <w:t xml:space="preserve">“The Digital Twin Paradigm for Future NASA and U.S. Air Force Vehicles,”</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“Digital Twin: Values, Challenges and Enablers From a Modeling Perspective,”</w:t>
      </w:r>
      <w:r>
        <w:t xml:space="preserve"> </w:t>
      </w:r>
      <w:r>
        <w:t xml:space="preserve">IEEE Access, vol. 8, pp. 21980–22012, 2020, doi: 10.1109/ACCESS.2020.2970143.</w:t>
      </w:r>
    </w:p>
    <w:p>
      <w:pPr>
        <w:pStyle w:val="BodyText"/>
      </w:pPr>
      <w:r>
        <w:t xml:space="preserve">[46] M. Eckhart and A. Ekelhart,</w:t>
      </w:r>
      <w:r>
        <w:t xml:space="preserve"> </w:t>
      </w:r>
      <w:r>
        <w:t xml:space="preserve">“A Specification-Based State Replication Approach for Digital Twins,”</w:t>
      </w:r>
      <w:r>
        <w:t xml:space="preserve"> </w:t>
      </w:r>
      <w:r>
        <w:t xml:space="preserve">in Proc. ACM Workshop Cyber-Phys. Syst. Secur. Privacy (CPSS), 2018, pp. 36–47, doi: 10.1145/3264888.3264892.</w:t>
      </w:r>
    </w:p>
    <w:p>
      <w:pPr>
        <w:pStyle w:val="BodyText"/>
      </w:pPr>
      <w:r>
        <w:t xml:space="preserve">[47] D. Dolev and A. C. Yao,</w:t>
      </w:r>
      <w:r>
        <w:t xml:space="preserve"> </w:t>
      </w:r>
      <w:r>
        <w:t xml:space="preserve">“On the Security of Public Key Protocols,”</w:t>
      </w:r>
      <w:r>
        <w:t xml:space="preserve"> </w:t>
      </w:r>
      <w:r>
        <w:t xml:space="preserve">IEEE Trans. Inf. Theory, vol. 29, no. 2, pp. 198–208, 1983, doi: 10.1109/TIT.1983.1056650.,</w:t>
      </w:r>
      <w:r>
        <w:t xml:space="preserve"> </w:t>
      </w:r>
      <w:r>
        <w:t xml:space="preserve">“A Specification-Based State Replication Approach for Digital Twins,”</w:t>
      </w:r>
      <w:r>
        <w:t xml:space="preserve"> </w:t>
      </w:r>
      <w:r>
        <w:t xml:space="preserve">in Proc. ACM Workshop Cyber-Phys. Syst. Secur. Privacy (CPSS), 2018, pp. 36–47, doi: 10.1145/3264888.3264892.</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9" Target="media/rId169.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10" Target="media/rId110.png" /><Relationship Type="http://schemas.openxmlformats.org/officeDocument/2006/relationships/image" Id="rId145" Target="media/rId145.png" /><Relationship Type="http://schemas.openxmlformats.org/officeDocument/2006/relationships/image" Id="rId136" Target="media/rId136.png" /><Relationship Type="http://schemas.openxmlformats.org/officeDocument/2006/relationships/image" Id="rId130" Target="media/rId130.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33" Target="media/rId1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2026-06-05T13:27:43Z</dcterms:created>
  <dcterms:modified xsi:type="dcterms:W3CDTF">2026-06-05T13:27:43Z</dcterms:modified>
</cp:coreProperties>
</file>

<file path=docProps/custom.xml><?xml version="1.0" encoding="utf-8"?>
<Properties xmlns="http://schemas.openxmlformats.org/officeDocument/2006/custom-properties" xmlns:vt="http://schemas.openxmlformats.org/officeDocument/2006/docPropsVTypes"/>
</file>