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148.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10.png" ContentType="image/png"/>
  <Override PartName="/word/media/rId145.png" ContentType="image/png"/>
  <Override PartName="/word/media/rId136.png" ContentType="image/png"/>
  <Override PartName="/word/media/rId130.png" ContentType="image/png"/>
  <Override PartName="/word/media/rId142.png" ContentType="image/png"/>
  <Override PartName="/word/media/rId139.png" ContentType="image/png"/>
  <Override PartName="/word/media/rId179.png" ContentType="image/png"/>
  <Override PartName="/word/media/rId176.png" ContentType="image/png"/>
  <Override PartName="/word/media/rId173.png" ContentType="image/png"/>
  <Override PartName="/word/media/rId182.png" ContentType="image/png"/>
  <Override PartName="/word/media/rId1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An AI-Driven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an AI-driven cross-layer mission assurance digital twin for multi-UAV defence surveillance.</w:t>
      </w:r>
    </w:p>
    <w:p>
      <w:pPr>
        <w:pStyle w:val="Compact"/>
        <w:numPr>
          <w:ilvl w:val="0"/>
          <w:numId w:val="1001"/>
        </w:numPr>
      </w:pPr>
      <w:r>
        <w:t xml:space="preserve">Introduces a hierarchical two-tier detection architecture: 95.73% macro F1 binary real-time classifier (Tier 1) and 60.07% macro F1 eight-class forensic classifier (Tier 2).</w:t>
      </w:r>
    </w:p>
    <w:p>
      <w:pPr>
        <w:pStyle w:val="Compact"/>
        <w:numPr>
          <w:ilvl w:val="0"/>
          <w:numId w:val="1001"/>
        </w:numPr>
      </w:pPr>
      <w:r>
        <w:t xml:space="preserve">Physics-based Friis RF channel model with SINR-derived PDR replaces parametric jamming models; normal SINR 39.9 dB, high-intensity jammed SINR 26.9 dB.</w:t>
      </w:r>
    </w:p>
    <w:p>
      <w:pPr>
        <w:pStyle w:val="Compact"/>
        <w:numPr>
          <w:ilvl w:val="0"/>
          <w:numId w:val="1001"/>
        </w:numPr>
      </w:pPr>
      <w:r>
        <w:t xml:space="preserve">Formal Mission Assurance Index integrating communication, navigation, integrity, recovery, and energy scores under a Dolev-Yao bounded attacker model.</w:t>
      </w:r>
    </w:p>
    <w:p>
      <w:pPr>
        <w:pStyle w:val="Compact"/>
        <w:numPr>
          <w:ilvl w:val="0"/>
          <w:numId w:val="1001"/>
        </w:numPr>
      </w:pPr>
      <w:r>
        <w:t xml:space="preserve">Includes PX4-style MAVLink telemetry emulation while clearly limiting validation claims.</w:t>
      </w:r>
    </w:p>
    <w:bookmarkEnd w:id="12"/>
    <w:bookmarkEnd w:id="13"/>
    <w:bookmarkStart w:id="15" w:name="abstract"/>
    <w:p>
      <w:pPr>
        <w:pStyle w:val="Heading1"/>
      </w:pPr>
      <w:r>
        <w:t xml:space="preserve">Abstract</w:t>
      </w:r>
    </w:p>
    <w:p>
      <w:pPr>
        <w:pStyle w:val="FirstParagraph"/>
      </w:pPr>
      <w:r>
        <w:t xml:space="preserve">Multi-UAV defence surveillance systems are increasingly deployed for reconnaissance, border monitoring, and critical-infrastructure protection. Mission reliability can be degraded in contested environments where adversaries conduct radio-frequency jamming, GPS/GNSS spoofing, and mission-data tampering. Existing studies treat these threats in isolation, but defence surveillance requires mission-level assurance connecting attack detection,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to convert communication, navigation, integrity, and mission-progress indicators into mission-level assurance decisions.</w:t>
      </w:r>
    </w:p>
    <w:p>
      <w:pPr>
        <w:pStyle w:val="BodyText"/>
      </w:pPr>
      <w:r>
        <w:t xml:space="preserve">A simulation-based evaluation uses 90,000 synthetic telemetry records across eight mission-state classes, with derived assurance scores excluded from classifier inputs to prevent leakage. The best model, Weighted LSTM, achieved 95.73% macro F1-score for binary attack detection (Tier 1 real-time) and 60.07% macro F1 for eight-class forensic attribution (Tier 2 post-mission).</w:t>
      </w:r>
    </w:p>
    <w:p>
      <w:pPr>
        <w:pStyle w:val="BodyText"/>
      </w:pPr>
      <w:r>
        <w:t xml:space="preserve">At the mission level, full RA-MARS achieved a Mission Assurance Index of 0.7012 ± 0.0042 and a mission success rate of 73.61 ± 0.87% under stressed attack scenarios. Ablation analysis shows that removing any single core component reduced mission success by up to 24 percentage points. Performance remained stable across swarm sizes of 10 to 30 UAVs.</w:t>
      </w:r>
    </w:p>
    <w:p>
      <w:pPr>
        <w:pStyle w:val="BodyText"/>
      </w:pPr>
      <w:r>
        <w:t xml:space="preserve">These findings support evaluating multi-UAV resilience through mission-level metrics rather than detection accuracy alone. The study provides simulation-based evidence for a defence-oriented mission assurance digital twin; hardware-in-the-loop validation is the primary direction for future work.</w:t>
      </w:r>
    </w:p>
    <w:bookmarkStart w:id="14" w:name="keywords"/>
    <w:p>
      <w:pPr>
        <w:pStyle w:val="Heading2"/>
      </w:pPr>
      <w:r>
        <w:t xml:space="preserve">Keywords</w:t>
      </w:r>
    </w:p>
    <w:p>
      <w:pPr>
        <w:pStyle w:val="FirstParagraph"/>
      </w:pPr>
      <w:r>
        <w:t xml:space="preserve">Multi-UAV systems; Defence surveillance; Mission assurance; Digital twin; UAV cybersecurity; Cyber-electromagnetic attacks</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intrusion detection, secure communication, task allocation, or data-integrity protection. These studies provide important component-level advances, but they do not fully address the mission-assurance problem faced by defence UAV swarms. In operational surveillance, the key question is not only whether an attack can be detected, but whether the swarm can preserve coverage, recover from degradation, maintain trustworthy mission records, and support command decisions under combined cyber-electromagnetic stress.</w:t>
      </w:r>
    </w:p>
    <w:p>
      <w:pPr>
        <w:pStyle w:val="BodyText"/>
      </w:pPr>
      <w:r>
        <w:t xml:space="preserve">This creates a research gap at the intersection of threat detection, mission recovery, and mission provenance. A UAV swarm may experience communication degradation from jamming while also receiving manipulated navigation data and producing mission logs that are vulnerable to tampering. Evaluating these effects separately can overstate operational resilience because the mission may fail even when the detector reports high accuracy. A defence-oriented UAV system must therefore connect attack detection with mission-risk estimation, adaptive continuation, and trusted post-mission evidence.</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tamper-resistant mission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logging-only, and non-adaptive security baselines using mission success rate, detection accuracy, packet delivery ratio, latency, energy consumption, and tamper-detection performance.</w:t>
      </w:r>
    </w:p>
    <w:p>
      <w:pPr>
        <w:numPr>
          <w:ilvl w:val="0"/>
          <w:numId w:val="1002"/>
        </w:numPr>
      </w:pPr>
      <w:r>
        <w:t xml:space="preserve">A PX4-style MAVLink telemetry emulation case study is included to test whether RA-MARS can process simulator-style UAV telemetry streams while clearly separating this evidence from real PX4/Gazebo SITL, hardware-in-the-loop, or flight-test validation.</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8"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Xfa85caef847ec312abbab43a5ca4b96f57fc066"/>
    <w:p>
      <w:pPr>
        <w:pStyle w:val="Heading2"/>
      </w:pPr>
      <w:r>
        <w:t xml:space="preserve">Digital Twins for Cyber-Physical Defence Systems</w:t>
      </w:r>
    </w:p>
    <w:p>
      <w:pPr>
        <w:pStyle w:val="FirstParagraph"/>
      </w:pPr>
      <w:r>
        <w:t xml:space="preserve">Digital twins have emerged as a key enabling technology for monitoring, simulation, and decision support in cyber-physical defence systems. A digital twin creates a virtual representation of a physical system that continuously updates based on real-time sensor data, enabling predictive analysis, anomaly detection, and adaptive control without disrupting live operations [44]. In defence contexts, digital twins have been proposed for UAV health monitoring, predictive maintenance of autonomous platforms, and mission rehearsal under adversarial conditions [45].</w:t>
      </w:r>
    </w:p>
    <w:p>
      <w:pPr>
        <w:pStyle w:val="BodyText"/>
      </w:pPr>
      <w:r>
        <w:t xml:space="preserve">Recent work has applied digital twin principles to cyber-physical security, where the twin serves as a reference model for detecting deviations caused by cyberattacks or sensor manipulation [46]. However, existing digital twin frameworks for UAV systems primarily focus on individual platform health or communication performance. A mission-level digital twin that connects attack detection, risk scoring, adaptive decision-making, and tamper-resistant logging across a multi-UAV swarm has not been proposed in prior work.</w:t>
      </w:r>
    </w:p>
    <w:bookmarkEnd w:id="24"/>
    <w:bookmarkStart w:id="25"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tamper-resistant data integrity, digital twins,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building digital twins for platform monitoring,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 under combined cyber-electromagnetic attack conditions. This gap is especially important because component-level metrics such as classification accuracy, packet delivery ratio, latency, or route deviation do not by themselves show whether the surveillance mission can continue, recover, and produce auditable evidence after attack exposure.</w:t>
      </w:r>
    </w:p>
    <w:bookmarkEnd w:id="25"/>
    <w:bookmarkStart w:id="26"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6"/>
    <w:bookmarkStart w:id="27"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task-allocation, digital-twin, or logging problem. By integrating AI-based cyber-physical attack detection with mission-risk scoring, adaptive mission continuation, digital twin action selection, and tamper-resistant mission provenance, RA-MARS provides a unified evaluation framework for secure multi-UAV defence surveillance under jamming, GPS spoofing, data-tampering, and combined attacks.</w:t>
      </w:r>
    </w:p>
    <w:p>
      <w:r>
        <w:pict>
          <v:rect style="width:0;height:1.5pt" o:hralign="center" o:hrstd="t" o:hr="t"/>
        </w:pict>
      </w:r>
    </w:p>
    <w:bookmarkEnd w:id="27"/>
    <w:bookmarkEnd w:id="28"/>
    <w:bookmarkStart w:id="51" w:name="system-model-and-threat-model"/>
    <w:p>
      <w:pPr>
        <w:pStyle w:val="Heading1"/>
      </w:pPr>
      <w:r>
        <w:t xml:space="preserve">System Model and Threat Model</w:t>
      </w:r>
    </w:p>
    <w:bookmarkStart w:id="29"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9"/>
    <w:bookmarkStart w:id="30"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30"/>
    <w:bookmarkStart w:id="31"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1"/>
    <w:bookmarkStart w:id="32"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2"/>
    <w:bookmarkStart w:id="33"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3"/>
    <w:bookmarkStart w:id="34"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4"/>
    <w:bookmarkStart w:id="37"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5"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5"/>
    <w:bookmarkStart w:id="36"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6"/>
    <w:bookmarkEnd w:id="37"/>
    <w:bookmarkStart w:id="40" w:name="gpsgnss-spoofing-attack"/>
    <w:p>
      <w:pPr>
        <w:pStyle w:val="Heading2"/>
      </w:pPr>
      <w:r>
        <w:t xml:space="preserve">GPS/GNSS Spoofing Attack</w:t>
      </w:r>
    </w:p>
    <w:p>
      <w:pPr>
        <w:pStyle w:val="FirstParagraph"/>
      </w:pPr>
      <w:r>
        <w:t xml:space="preserve">GPS/GNSS spoofing targets UAV navigation and positioning trustworthiness.</w:t>
      </w:r>
    </w:p>
    <w:bookmarkStart w:id="38"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8"/>
    <w:bookmarkStart w:id="39"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9"/>
    <w:bookmarkEnd w:id="40"/>
    <w:bookmarkStart w:id="43"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1"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1"/>
    <w:bookmarkStart w:id="42"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2"/>
    <w:bookmarkEnd w:id="43"/>
    <w:bookmarkStart w:id="44"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4"/>
    <w:bookmarkStart w:id="45" w:name="formal-attacker-model"/>
    <w:p>
      <w:pPr>
        <w:pStyle w:val="Heading2"/>
      </w:pPr>
      <w:r>
        <w:t xml:space="preserve">Formal Attacker Model</w:t>
      </w:r>
    </w:p>
    <w:p>
      <w:pPr>
        <w:pStyle w:val="FirstParagraph"/>
      </w:pPr>
      <w:r>
        <w:t xml:space="preserve">RA-MARS adopts a bounded Dolev-Yao attacker model [47] for the cyber-electromagnetic threat environment. The attacker is assumed to have the following capabilities and limitations:</w:t>
      </w:r>
    </w:p>
    <w:p>
      <w:pPr>
        <w:pStyle w:val="BodyText"/>
      </w:pPr>
      <w:r>
        <w:rPr>
          <w:b/>
          <w:bCs/>
        </w:rPr>
        <w:t xml:space="preserve">Attacker capabilities:</w:t>
      </w:r>
      <w:r>
        <w:t xml:space="preserve"> </w:t>
      </w:r>
      <w:r>
        <w:t xml:space="preserve">The attacker can observe all wireless transmissions between UAVs and the GCS within radio range. The attacker can inject arbitrary RF jamming signals with bounded effective radiated power (ERP ≤ 50W in the v4 evaluation). The attacker can generate GPS spoofing signals that override authentic GNSS signals within a bounded geographic area. The attacker can modify telemetry records stored outside cryptographically protected log structures. The attacker may coordinate simultaneous jamming, spoofing, and tampering actions (combined attack scenario).</w:t>
      </w:r>
    </w:p>
    <w:p>
      <w:pPr>
        <w:pStyle w:val="BodyText"/>
      </w:pPr>
      <w:r>
        <w:rPr>
          <w:b/>
          <w:bCs/>
        </w:rPr>
        <w:t xml:space="preserve">Attacker limitations:</w:t>
      </w:r>
      <w:r>
        <w:t xml:space="preserve"> </w:t>
      </w:r>
      <w:r>
        <w:t xml:space="preserve">The attacker cannot break cryptographic primitives (SHA-256 is modelled as a collision-resistant hash function under the random oracle model). The attacker does not have access to the secret seed used to initialise hash-chain generation. The attacker cannot physically intercept or modify on-board flight controller state. The attacker is external to the UAV swarm and cannot compromise UAV firmware. The attacker is computationally bounded and cannot perform exhaustive key-space search.</w:t>
      </w:r>
    </w:p>
    <w:p>
      <w:pPr>
        <w:pStyle w:val="BodyText"/>
      </w:pPr>
      <w:r>
        <w:rPr>
          <w:b/>
          <w:bCs/>
        </w:rPr>
        <w:t xml:space="preserve">Security objectives under this model:</w:t>
      </w:r>
      <w:r>
        <w:t xml:space="preserve"> </w:t>
      </w:r>
      <w:r>
        <w:t xml:space="preserve">RA-MARS aims to achieve (1) attack detection: identify jamming, spoofing, and tampering with high true positive rate; (2) mission continuity: maintain mission progress above a minimum threshold despite active attacks; (3) log integrity: ensure post-mission tamper evidence is detectable with 100% probability under the defined attacker model.</w:t>
      </w:r>
    </w:p>
    <w:bookmarkEnd w:id="45"/>
    <w:bookmarkStart w:id="46"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6"/>
    <w:bookmarkStart w:id="47" w:name="energy-model"/>
    <w:p>
      <w:pPr>
        <w:pStyle w:val="Heading2"/>
      </w:pPr>
      <w:r>
        <w:t xml:space="preserve">Energy Model</w:t>
      </w:r>
    </w:p>
    <w:p>
      <w:pPr>
        <w:pStyle w:val="FirstParagraph"/>
      </w:pPr>
      <w:r>
        <w:t xml:space="preserve">The energy consumption of each UAV is modelled using a power-based approach. Each UAV is assumed to be a multi-rotor platform in the DJI Matrice 300 class, with the following power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Flight mode</w:t>
            </w:r>
          </w:p>
        </w:tc>
        <w:tc>
          <w:tcPr/>
          <w:p>
            <w:pPr>
              <w:pStyle w:val="Compact"/>
            </w:pPr>
            <w:r>
              <w:t xml:space="preserve">Power draw</w:t>
            </w:r>
          </w:p>
        </w:tc>
      </w:tr>
      <w:tr>
        <w:tc>
          <w:tcPr/>
          <w:p>
            <w:pPr>
              <w:pStyle w:val="Compact"/>
            </w:pPr>
            <w:r>
              <w:t xml:space="preserve">Hover</w:t>
            </w:r>
          </w:p>
        </w:tc>
        <w:tc>
          <w:tcPr/>
          <w:p>
            <w:pPr>
              <w:pStyle w:val="Compact"/>
            </w:pPr>
            <w:r>
              <w:t xml:space="preserve">300 W</w:t>
            </w:r>
          </w:p>
        </w:tc>
      </w:tr>
      <w:tr>
        <w:tc>
          <w:tcPr/>
          <w:p>
            <w:pPr>
              <w:pStyle w:val="Compact"/>
            </w:pPr>
            <w:r>
              <w:t xml:space="preserve">Cruise (15 m/s)</w:t>
            </w:r>
          </w:p>
        </w:tc>
        <w:tc>
          <w:tcPr/>
          <w:p>
            <w:pPr>
              <w:pStyle w:val="Compact"/>
            </w:pPr>
            <w:r>
              <w:t xml:space="preserve">180 W</w:t>
            </w:r>
          </w:p>
        </w:tc>
      </w:tr>
      <w:tr>
        <w:tc>
          <w:tcPr/>
          <w:p>
            <w:pPr>
              <w:pStyle w:val="Compact"/>
            </w:pPr>
            <w:r>
              <w:t xml:space="preserve">Companion computer (Jetson Nano class)</w:t>
            </w:r>
          </w:p>
        </w:tc>
        <w:tc>
          <w:tcPr/>
          <w:p>
            <w:pPr>
              <w:pStyle w:val="Compact"/>
            </w:pPr>
            <w:r>
              <w:t xml:space="preserve">10 W</w:t>
            </w:r>
          </w:p>
        </w:tc>
      </w:tr>
      <w:tr>
        <w:tc>
          <w:tcPr/>
          <w:p>
            <w:pPr>
              <w:pStyle w:val="Compact"/>
            </w:pPr>
            <w:r>
              <w:t xml:space="preserve">Communication overhead</w:t>
            </w:r>
          </w:p>
        </w:tc>
        <w:tc>
          <w:tcPr/>
          <w:p>
            <w:pPr>
              <w:pStyle w:val="Compact"/>
            </w:pPr>
            <w:r>
              <w:t xml:space="preserve">2 W</w:t>
            </w:r>
          </w:p>
        </w:tc>
      </w:tr>
    </w:tbl>
    <w:p>
      <w:pPr>
        <w:pStyle w:val="BodyText"/>
      </w:pPr>
      <w:r>
        <w:t xml:space="preserve">Energy consumed per telemetry interval (1 second) is computed as E = P × Δt, where P is the total power draw for the current flight mode and Δt = 1 s. Energy is normalised to [0, 1] relative to the hover + compute baseline (312 W). The energy penalty in the Mission Assurance Index penalises high consumption rates that reduce mission endurance. Under normal operation, the normalised energy rate is approximately 0.013 per telemetry interval, corresponding to approximately 75 minutes of hover endurance at full battery capacity.</w:t>
      </w:r>
    </w:p>
    <w:bookmarkEnd w:id="47"/>
    <w:bookmarkStart w:id="48" w:name="inter-uav-communication-model"/>
    <w:p>
      <w:pPr>
        <w:pStyle w:val="Heading2"/>
      </w:pPr>
      <w:r>
        <w:t xml:space="preserve">Inter-UAV Communication Model</w:t>
      </w:r>
    </w:p>
    <w:p>
      <w:pPr>
        <w:pStyle w:val="FirstParagraph"/>
      </w:pPr>
      <w:r>
        <w:t xml:space="preserve">UAV-to-UAV coordination within RA-MARS uses MAVLink 2 messaging over the 900 MHz C2 link. Each UAV broadcasts its current mission state, MAI score, and adaptive action at the MAVLink telemetry rate (10 Hz). The GCS aggregates swarm-level MAI scores and issues mission-level commands at 4 Hz. Under jamming conditions, the C2 link SINR degradation affects both GCS-to-UAV and UAV-to-UAV links equally, as all links share the same frequency band and are subject to the same jammer ERP. Future work will investigate mesh networking protocols (e.g., OLSR, AODV) to improve swarm communication resilience under partial jamming.</w:t>
      </w:r>
    </w:p>
    <w:bookmarkEnd w:id="48"/>
    <w:bookmarkStart w:id="49"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9"/>
    <w:bookmarkStart w:id="50"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50"/>
    <w:bookmarkEnd w:id="51"/>
    <w:bookmarkStart w:id="71" w:name="methodology"/>
    <w:p>
      <w:pPr>
        <w:pStyle w:val="Heading1"/>
      </w:pPr>
      <w:r>
        <w:t xml:space="preserve">Methodology</w:t>
      </w:r>
    </w:p>
    <w:bookmarkStart w:id="52"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52"/>
    <w:bookmarkStart w:id="53"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3"/>
    <w:bookmarkStart w:id="54"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4"/>
    <w:bookmarkStart w:id="60" w:name="ai-based-attack-detection-module"/>
    <w:p>
      <w:pPr>
        <w:pStyle w:val="Heading2"/>
      </w:pPr>
      <w:r>
        <w:t xml:space="preserve">AI-Based Attack Detection Module</w:t>
      </w:r>
    </w:p>
    <w:p>
      <w:pPr>
        <w:pStyle w:val="FirstParagraph"/>
      </w:pPr>
      <w:r>
        <w:t xml:space="preserve">The threat model for RA-MARS — covering RF jamming, GPS/GNSS spoofing, and mission-data tampering — is defined in Section 3. The AI-based attack detection module implements a</w:t>
      </w:r>
      <w:r>
        <w:t xml:space="preserve"> </w:t>
      </w:r>
      <w:r>
        <w:rPr>
          <w:b/>
          <w:bCs/>
        </w:rPr>
        <w:t xml:space="preserve">hierarchical two-tier architecture</w:t>
      </w:r>
      <w:r>
        <w:t xml:space="preserve"> </w:t>
      </w:r>
      <w:r>
        <w:t xml:space="preserve">that separates real-time operational detection from post-mission forensic analysis. This design reflects the different latency, accuracy, and interpretability requirements of each use case in defence surveillance operations.</w:t>
      </w:r>
    </w:p>
    <w:bookmarkStart w:id="55" w:name="X0f38c4911985bf913ec465712bf7eebab64bc31"/>
    <w:p>
      <w:pPr>
        <w:pStyle w:val="Heading3"/>
      </w:pPr>
      <w:r>
        <w:t xml:space="preserve">Tier 1: Binary Real-Time Classifier (Operational)</w:t>
      </w:r>
    </w:p>
    <w:p>
      <w:pPr>
        <w:pStyle w:val="FirstParagraph"/>
      </w:pPr>
      <w:r>
        <w:t xml:space="preserve">The Tier 1 classifier provides a binary attack/normal decision at each telemetry cycle (1 Hz) and directly triggers the Mission Assurance Index update and digital twin action selection. Operational deployment requires high sensitivity to any attack condition — the exact attack type is not needed in real time, only the binary signal that mission integrity is compromised. A binary LSTM classifier with 2-layer architecture (hidden size = 128, dropout = 0.4, focal loss γ = 2) is trained exclusively on the nine non-leakage telemetry features and achieves 95.73% macro F1-score on the held-out test set.</w:t>
      </w:r>
    </w:p>
    <w:p>
      <w:pPr>
        <w:pStyle w:val="BodyText"/>
      </w:pPr>
      <w:r>
        <w:t xml:space="preserve">The Tier 1 output is a binary label b ∈ {0 = normal, 1 = attack} consumed by the Mission Assurance Index and the adaptive continuation logic at each telemetry step.</w:t>
      </w:r>
    </w:p>
    <w:bookmarkEnd w:id="55"/>
    <w:bookmarkStart w:id="56" w:name="X9354e0f8469ee0c8e9034267abbb993cff8d0e3"/>
    <w:p>
      <w:pPr>
        <w:pStyle w:val="Heading3"/>
      </w:pPr>
      <w:r>
        <w:t xml:space="preserve">Tier 2: Fine-Grained Forensic Classifier (Post-Mission)</w:t>
      </w:r>
    </w:p>
    <w:p>
      <w:pPr>
        <w:pStyle w:val="FirstParagraph"/>
      </w:pPr>
      <w:r>
        <w:t xml:space="preserve">The Tier 2 classifier provides 8-class attack-type identification for post-mission incident reporting, threat attribution, and doctrinal review. In defence surveillance operations, forensic analysis of attack type informs rules of engagement, vulnerability patching, and adversary profiling — tasks that do not require real-time latency but benefit from detailed classification. The Tier 2 LSTM achieves 60.07% macro F1-score across eight attack classes: normal, jamming, spoofing, tampering, jamming+spoofing, jamming+tampering, spoofing+tampering, and combined. The lower macro F1 reflects the inherent difficulty of distinguishing composite attack signatures in synthetic telemetry data, and is consistent with published results on multi-class network intrusion detection under class imbalance.</w:t>
      </w:r>
    </w:p>
    <w:p>
      <w:pPr>
        <w:pStyle w:val="BodyText"/>
      </w:pPr>
      <w:r>
        <w:t xml:space="preserve">The Tier 2 classifier operates offline on recorded mission logs after mission completion and does not introduce latency into the real-time control loop.</w:t>
      </w:r>
    </w:p>
    <w:bookmarkEnd w:id="56"/>
    <w:bookmarkStart w:id="57" w:name="hierarchical-integration"/>
    <w:p>
      <w:pPr>
        <w:pStyle w:val="Heading3"/>
      </w:pPr>
      <w:r>
        <w:t xml:space="preserve">Hierarchical Integration</w:t>
      </w:r>
    </w:p>
    <w:p>
      <w:pPr>
        <w:pStyle w:val="FirstParagraph"/>
      </w:pPr>
      <w:r>
        <w:t xml:space="preserve">The two-tier architecture provides complementary coverage: Tier 1 ensures rapid, reliable detection for mission-critical decisions; Tier 2 ensures detailed attribution for post-mission analysis. This separation is operationally motivated — requiring a single classifier to simultaneously achieve real-time binary performance and fine-grained forensic accuracy would impose conflicting optimisation constraints. Published intrusion detection systems for UAV networks similarly adopt hierarchical or multi-stage architectures to balance detection latency against classification granularity [44, 45].</w:t>
      </w:r>
    </w:p>
    <w:bookmarkEnd w:id="57"/>
    <w:bookmarkStart w:id="58" w:name="input-features"/>
    <w:p>
      <w:pPr>
        <w:pStyle w:val="Heading3"/>
      </w:pPr>
      <w:r>
        <w:t xml:space="preserve">Input Features</w:t>
      </w:r>
    </w:p>
    <w:p>
      <w:pPr>
        <w:pStyle w:val="FirstParagraph"/>
      </w:pPr>
      <w:r>
        <w:t xml:space="preserve">Both classifiers share the following nine non-leakage telemetry features, drawn exclusively from raw sensor and communication observations available at the UAV telemetry rate:</w:t>
      </w:r>
    </w:p>
    <w:p>
      <w:pPr>
        <w:pStyle w:val="Compact"/>
        <w:numPr>
          <w:ilvl w:val="0"/>
          <w:numId w:val="1016"/>
        </w:numPr>
      </w:pPr>
      <w:r>
        <w:t xml:space="preserve">Packet loss rate (Friis-derived, SINR-based)</w:t>
      </w:r>
    </w:p>
    <w:p>
      <w:pPr>
        <w:pStyle w:val="Compact"/>
        <w:numPr>
          <w:ilvl w:val="0"/>
          <w:numId w:val="1016"/>
        </w:numPr>
      </w:pPr>
      <w:r>
        <w:t xml:space="preserve">Communication latency (ms)</w:t>
      </w:r>
    </w:p>
    <w:p>
      <w:pPr>
        <w:pStyle w:val="Compact"/>
        <w:numPr>
          <w:ilvl w:val="0"/>
          <w:numId w:val="1016"/>
        </w:numPr>
      </w:pPr>
      <w:r>
        <w:t xml:space="preserve">Route deviation (m)</w:t>
      </w:r>
    </w:p>
    <w:p>
      <w:pPr>
        <w:pStyle w:val="Compact"/>
        <w:numPr>
          <w:ilvl w:val="0"/>
          <w:numId w:val="1016"/>
        </w:numPr>
      </w:pPr>
      <w:r>
        <w:t xml:space="preserve">GPS position jump (m)</w:t>
      </w:r>
    </w:p>
    <w:p>
      <w:pPr>
        <w:pStyle w:val="Compact"/>
        <w:numPr>
          <w:ilvl w:val="0"/>
          <w:numId w:val="1016"/>
        </w:numPr>
      </w:pPr>
      <w:r>
        <w:t xml:space="preserve">Velocity inconsistency</w:t>
      </w:r>
    </w:p>
    <w:p>
      <w:pPr>
        <w:pStyle w:val="Compact"/>
        <w:numPr>
          <w:ilvl w:val="0"/>
          <w:numId w:val="1016"/>
        </w:numPr>
      </w:pPr>
      <w:r>
        <w:t xml:space="preserve">Log integrity status (hash-chain verification)</w:t>
      </w:r>
    </w:p>
    <w:p>
      <w:pPr>
        <w:pStyle w:val="Compact"/>
        <w:numPr>
          <w:ilvl w:val="0"/>
          <w:numId w:val="1016"/>
        </w:numPr>
      </w:pPr>
      <w:r>
        <w:t xml:space="preserve">Energy consumption (normalised)</w:t>
      </w:r>
    </w:p>
    <w:p>
      <w:pPr>
        <w:pStyle w:val="Compact"/>
        <w:numPr>
          <w:ilvl w:val="0"/>
          <w:numId w:val="1016"/>
        </w:numPr>
      </w:pPr>
      <w:r>
        <w:t xml:space="preserve">Zone coverage (%)</w:t>
      </w:r>
    </w:p>
    <w:p>
      <w:pPr>
        <w:pStyle w:val="Compact"/>
        <w:numPr>
          <w:ilvl w:val="0"/>
          <w:numId w:val="1016"/>
        </w:numPr>
      </w:pPr>
      <w:r>
        <w:t xml:space="preserve">Signal-to-interference-plus-noise ratio (dB) — v4 addition</w:t>
      </w:r>
    </w:p>
    <w:p>
      <w:pPr>
        <w:pStyle w:val="FirstParagraph"/>
      </w:pPr>
      <w:r>
        <w:t xml:space="preserve">These features are selected to exclude derived mission-assurance scores, preventing leakage between the detection module and the Mission Assurance Index.</w:t>
      </w:r>
    </w:p>
    <w:bookmarkEnd w:id="58"/>
    <w:bookmarkStart w:id="59" w:name="model-architecture-and-hyperparameters"/>
    <w:p>
      <w:pPr>
        <w:pStyle w:val="Heading3"/>
      </w:pPr>
      <w:r>
        <w:t xml:space="preserve">Model Architecture and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Tier 1 (Binary)</w:t>
            </w:r>
          </w:p>
        </w:tc>
        <w:tc>
          <w:tcPr/>
          <w:p>
            <w:pPr>
              <w:pStyle w:val="Compact"/>
            </w:pPr>
            <w:r>
              <w:t xml:space="preserve">Tier 2 (8-class)</w:t>
            </w:r>
          </w:p>
        </w:tc>
      </w:tr>
      <w:tr>
        <w:tc>
          <w:tcPr/>
          <w:p>
            <w:pPr>
              <w:pStyle w:val="Compact"/>
            </w:pPr>
            <w:r>
              <w:t xml:space="preserve">Architecture</w:t>
            </w:r>
          </w:p>
        </w:tc>
        <w:tc>
          <w:tcPr/>
          <w:p>
            <w:pPr>
              <w:pStyle w:val="Compact"/>
            </w:pPr>
            <w:r>
              <w:t xml:space="preserve">2-layer LSTM</w:t>
            </w:r>
          </w:p>
        </w:tc>
        <w:tc>
          <w:tcPr/>
          <w:p>
            <w:pPr>
              <w:pStyle w:val="Compact"/>
            </w:pPr>
            <w:r>
              <w:t xml:space="preserve">2-layer LSTM</w:t>
            </w:r>
          </w:p>
        </w:tc>
      </w:tr>
      <w:tr>
        <w:tc>
          <w:tcPr/>
          <w:p>
            <w:pPr>
              <w:pStyle w:val="Compact"/>
            </w:pPr>
            <w:r>
              <w:t xml:space="preserve">Hidden units</w:t>
            </w:r>
          </w:p>
        </w:tc>
        <w:tc>
          <w:tcPr/>
          <w:p>
            <w:pPr>
              <w:pStyle w:val="Compact"/>
            </w:pPr>
            <w:r>
              <w:t xml:space="preserve">128</w:t>
            </w:r>
          </w:p>
        </w:tc>
        <w:tc>
          <w:tcPr/>
          <w:p>
            <w:pPr>
              <w:pStyle w:val="Compact"/>
            </w:pPr>
            <w:r>
              <w:t xml:space="preserve">128</w:t>
            </w:r>
          </w:p>
        </w:tc>
      </w:tr>
      <w:tr>
        <w:tc>
          <w:tcPr/>
          <w:p>
            <w:pPr>
              <w:pStyle w:val="Compact"/>
            </w:pPr>
            <w:r>
              <w:t xml:space="preserve">Dropout</w:t>
            </w:r>
          </w:p>
        </w:tc>
        <w:tc>
          <w:tcPr/>
          <w:p>
            <w:pPr>
              <w:pStyle w:val="Compact"/>
            </w:pPr>
            <w:r>
              <w:t xml:space="preserve">0.40</w:t>
            </w:r>
          </w:p>
        </w:tc>
        <w:tc>
          <w:tcPr/>
          <w:p>
            <w:pPr>
              <w:pStyle w:val="Compact"/>
            </w:pPr>
            <w:r>
              <w:t xml:space="preserve">0.40</w:t>
            </w:r>
          </w:p>
        </w:tc>
      </w:tr>
      <w:tr>
        <w:tc>
          <w:tcPr/>
          <w:p>
            <w:pPr>
              <w:pStyle w:val="Compact"/>
            </w:pPr>
            <w:r>
              <w:t xml:space="preserve">Loss function</w:t>
            </w:r>
          </w:p>
        </w:tc>
        <w:tc>
          <w:tcPr/>
          <w:p>
            <w:pPr>
              <w:pStyle w:val="Compact"/>
            </w:pPr>
            <w:r>
              <w:t xml:space="preserve">Focal loss (γ=2)</w:t>
            </w:r>
          </w:p>
        </w:tc>
        <w:tc>
          <w:tcPr/>
          <w:p>
            <w:pPr>
              <w:pStyle w:val="Compact"/>
            </w:pPr>
            <w:r>
              <w:t xml:space="preserve">Focal loss (γ=2)</w:t>
            </w:r>
          </w:p>
        </w:tc>
      </w:tr>
      <w:tr>
        <w:tc>
          <w:tcPr/>
          <w:p>
            <w:pPr>
              <w:pStyle w:val="Compact"/>
            </w:pPr>
            <w:r>
              <w:t xml:space="preserve">Label smoothing</w:t>
            </w:r>
          </w:p>
        </w:tc>
        <w:tc>
          <w:tcPr/>
          <w:p>
            <w:pPr>
              <w:pStyle w:val="Compact"/>
            </w:pPr>
            <w:r>
              <w:t xml:space="preserve">0.10</w:t>
            </w:r>
          </w:p>
        </w:tc>
        <w:tc>
          <w:tcPr/>
          <w:p>
            <w:pPr>
              <w:pStyle w:val="Compact"/>
            </w:pPr>
            <w:r>
              <w:t xml:space="preserve">0.10</w:t>
            </w:r>
          </w:p>
        </w:tc>
      </w:tr>
      <w:tr>
        <w:tc>
          <w:tcPr/>
          <w:p>
            <w:pPr>
              <w:pStyle w:val="Compact"/>
            </w:pPr>
            <w:r>
              <w:t xml:space="preserve">Epochs (max)</w:t>
            </w:r>
          </w:p>
        </w:tc>
        <w:tc>
          <w:tcPr/>
          <w:p>
            <w:pPr>
              <w:pStyle w:val="Compact"/>
            </w:pPr>
            <w:r>
              <w:t xml:space="preserve">50</w:t>
            </w:r>
          </w:p>
        </w:tc>
        <w:tc>
          <w:tcPr/>
          <w:p>
            <w:pPr>
              <w:pStyle w:val="Compact"/>
            </w:pPr>
            <w:r>
              <w:t xml:space="preserve">50</w:t>
            </w:r>
          </w:p>
        </w:tc>
      </w:tr>
      <w:tr>
        <w:tc>
          <w:tcPr/>
          <w:p>
            <w:pPr>
              <w:pStyle w:val="Compact"/>
            </w:pPr>
            <w:r>
              <w:t xml:space="preserve">Early stopping patience</w:t>
            </w:r>
          </w:p>
        </w:tc>
        <w:tc>
          <w:tcPr/>
          <w:p>
            <w:pPr>
              <w:pStyle w:val="Compact"/>
            </w:pPr>
            <w:r>
              <w:t xml:space="preserve">10</w:t>
            </w:r>
          </w:p>
        </w:tc>
        <w:tc>
          <w:tcPr/>
          <w:p>
            <w:pPr>
              <w:pStyle w:val="Compact"/>
            </w:pPr>
            <w:r>
              <w:t xml:space="preserve">10</w:t>
            </w:r>
          </w:p>
        </w:tc>
      </w:tr>
      <w:tr>
        <w:tc>
          <w:tcPr/>
          <w:p>
            <w:pPr>
              <w:pStyle w:val="Compact"/>
            </w:pPr>
            <w:r>
              <w:t xml:space="preserve">Optimiser</w:t>
            </w:r>
          </w:p>
        </w:tc>
        <w:tc>
          <w:tcPr/>
          <w:p>
            <w:pPr>
              <w:pStyle w:val="Compact"/>
            </w:pPr>
            <w:r>
              <w:t xml:space="preserve">Adam (lr=0.001)</w:t>
            </w:r>
          </w:p>
        </w:tc>
        <w:tc>
          <w:tcPr/>
          <w:p>
            <w:pPr>
              <w:pStyle w:val="Compact"/>
            </w:pPr>
            <w:r>
              <w:t xml:space="preserve">Adam (lr=0.001)</w:t>
            </w:r>
          </w:p>
        </w:tc>
      </w:tr>
      <w:tr>
        <w:tc>
          <w:tcPr/>
          <w:p>
            <w:pPr>
              <w:pStyle w:val="Compact"/>
            </w:pPr>
            <w:r>
              <w:t xml:space="preserve">Gradient clipping</w:t>
            </w:r>
          </w:p>
        </w:tc>
        <w:tc>
          <w:tcPr/>
          <w:p>
            <w:pPr>
              <w:pStyle w:val="Compact"/>
            </w:pPr>
            <w:r>
              <w:t xml:space="preserve">1.0</w:t>
            </w:r>
          </w:p>
        </w:tc>
        <w:tc>
          <w:tcPr/>
          <w:p>
            <w:pPr>
              <w:pStyle w:val="Compact"/>
            </w:pPr>
            <w:r>
              <w:t xml:space="preserve">1.0</w:t>
            </w:r>
          </w:p>
        </w:tc>
      </w:tr>
      <w:tr>
        <w:tc>
          <w:tcPr/>
          <w:p>
            <w:pPr>
              <w:pStyle w:val="Compact"/>
            </w:pPr>
            <w:r>
              <w:t xml:space="preserve">Sequence length</w:t>
            </w:r>
          </w:p>
        </w:tc>
        <w:tc>
          <w:tcPr/>
          <w:p>
            <w:pPr>
              <w:pStyle w:val="Compact"/>
            </w:pPr>
            <w:r>
              <w:t xml:space="preserve">20 steps</w:t>
            </w:r>
          </w:p>
        </w:tc>
        <w:tc>
          <w:tcPr/>
          <w:p>
            <w:pPr>
              <w:pStyle w:val="Compact"/>
            </w:pPr>
            <w:r>
              <w:t xml:space="preserve">20 steps</w:t>
            </w:r>
          </w:p>
        </w:tc>
      </w:tr>
      <w:tr>
        <w:tc>
          <w:tcPr/>
          <w:p>
            <w:pPr>
              <w:pStyle w:val="Compact"/>
            </w:pPr>
            <w:r>
              <w:t xml:space="preserve">Train/val/test split</w:t>
            </w:r>
          </w:p>
        </w:tc>
        <w:tc>
          <w:tcPr/>
          <w:p>
            <w:pPr>
              <w:pStyle w:val="Compact"/>
            </w:pPr>
            <w:r>
              <w:t xml:space="preserve">70/15/15</w:t>
            </w:r>
          </w:p>
        </w:tc>
        <w:tc>
          <w:tcPr/>
          <w:p>
            <w:pPr>
              <w:pStyle w:val="Compact"/>
            </w:pPr>
            <w:r>
              <w:t xml:space="preserve">70/15/15</w:t>
            </w:r>
          </w:p>
        </w:tc>
      </w:tr>
    </w:tbl>
    <w:bookmarkEnd w:id="59"/>
    <w:bookmarkEnd w:id="60"/>
    <w:bookmarkStart w:id="63"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bookmarkStart w:id="61" w:name="mission-assurance-index"/>
    <w:p>
      <w:pPr>
        <w:pStyle w:val="Heading3"/>
      </w:pPr>
      <w:r>
        <w:t xml:space="preserve">Mission Assurance Index</w:t>
      </w:r>
    </w:p>
    <w:p>
      <w:pPr>
        <w:pStyle w:val="FirstParagraph"/>
      </w:pPr>
      <w:r>
        <w:t xml:space="preserve">The Mission Assurance Index (MAI) aggregates five normalised component scores into a single mission-level assurance value:</w:t>
      </w:r>
    </w:p>
    <w:p>
      <w:pPr>
        <w:pStyle w:val="BodyText"/>
      </w:pPr>
      <w:r>
        <w:t xml:space="preserve">MAI = α · C_score + β · N_score + γ · I_score + δ · R_score + ε · V_score (1)</w:t>
      </w:r>
    </w:p>
    <w:p>
      <w:pPr>
        <w:pStyle w:val="BodyText"/>
      </w:pPr>
      <w:r>
        <w:t xml:space="preserve">where C_score is the communication score derived from packet delivery ratio and latency, N_score is the navigation trust score derived from route deviation and GPS consistency, I_score is the log integrity score from hash-chain verification, R_score is the mission recovery score from zone-coverage progress, and V_score is the energy viability score from battery drain rate. The weighting coefficients satisfy α + β + γ + δ + ε = 1. In the v4 evaluation, equal weights (α = β = γ = δ = ε = 0.20) were used as a baseline configuration. Each component score is normalised to [0, 1], such that MAI ∈ [0, 1], where values closer to 1 indicate higher mission assurance.</w:t>
      </w:r>
    </w:p>
    <w:bookmarkEnd w:id="61"/>
    <w:bookmarkStart w:id="62" w:name="mission-risk-score"/>
    <w:p>
      <w:pPr>
        <w:pStyle w:val="Heading3"/>
      </w:pPr>
      <w:r>
        <w:t xml:space="preserve">Mission Risk Score</w:t>
      </w:r>
    </w:p>
    <w:p>
      <w:pPr>
        <w:pStyle w:val="FirstParagraph"/>
      </w:pPr>
      <w:r>
        <w:t xml:space="preserve">A mission risk score is derived from AI detection results and operational degradation indicators:</w:t>
      </w:r>
    </w:p>
    <w:p>
      <w:pPr>
        <w:pStyle w:val="BodyText"/>
      </w:pPr>
      <w:r>
        <w:t xml:space="preserve">Risk Score = w1 · P_attack + w2 · L_packet + w3 · D_route + w4 · Δ_latency + w5 · F_integrity (2)</w:t>
      </w:r>
    </w:p>
    <w:p>
      <w:pPr>
        <w:pStyle w:val="BodyText"/>
      </w:pPr>
      <w:r>
        <w:t xml:space="preserve">where P_attack is the predicted attack probability from the detection model, L_packet is the packet loss rate, D_route is the normalised route deviation, Δ_latency is the normalised latency increase above baseline, and F_integrity is the log integrity violation flag. In the v4 evaluation, weights w1 = 0.30, w2 = 0.25, w3 = 0.20, w4 = 0.15, and w5 = 0.10 were used, reflecting the relative severity of each degradation type in defence surveillance missions.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2"/>
    <w:bookmarkEnd w:id="63"/>
    <w:bookmarkStart w:id="64"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7"/>
        </w:numPr>
      </w:pPr>
      <w:r>
        <w:t xml:space="preserve">Continue normal operation</w:t>
      </w:r>
    </w:p>
    <w:p>
      <w:pPr>
        <w:pStyle w:val="Compact"/>
        <w:numPr>
          <w:ilvl w:val="0"/>
          <w:numId w:val="1017"/>
        </w:numPr>
      </w:pPr>
      <w:r>
        <w:t xml:space="preserve">Increase monitoring frequency</w:t>
      </w:r>
    </w:p>
    <w:p>
      <w:pPr>
        <w:pStyle w:val="Compact"/>
        <w:numPr>
          <w:ilvl w:val="0"/>
          <w:numId w:val="1017"/>
        </w:numPr>
      </w:pPr>
      <w:r>
        <w:t xml:space="preserve">Reassign affected mission zones to nearby UAVs</w:t>
      </w:r>
    </w:p>
    <w:p>
      <w:pPr>
        <w:pStyle w:val="Compact"/>
        <w:numPr>
          <w:ilvl w:val="0"/>
          <w:numId w:val="1017"/>
        </w:numPr>
      </w:pPr>
      <w:r>
        <w:t xml:space="preserve">Reroute UAVs around high-risk zones</w:t>
      </w:r>
    </w:p>
    <w:p>
      <w:pPr>
        <w:pStyle w:val="Compact"/>
        <w:numPr>
          <w:ilvl w:val="0"/>
          <w:numId w:val="1017"/>
        </w:numPr>
      </w:pPr>
      <w:r>
        <w:t xml:space="preserve">Reduce dependence on affected UAVs</w:t>
      </w:r>
    </w:p>
    <w:p>
      <w:pPr>
        <w:pStyle w:val="Compact"/>
        <w:numPr>
          <w:ilvl w:val="0"/>
          <w:numId w:val="1017"/>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4"/>
    <w:bookmarkStart w:id="66" w:name="tamper-resistant-mission-logging-module"/>
    <w:p>
      <w:pPr>
        <w:pStyle w:val="Heading2"/>
      </w:pPr>
      <w:r>
        <w:t xml:space="preserve">Tamper-Resistant Mission Logging Module</w:t>
      </w:r>
    </w:p>
    <w:bookmarkStart w:id="65" w:name="cryptographic-specification"/>
    <w:p>
      <w:pPr>
        <w:pStyle w:val="Heading3"/>
      </w:pPr>
      <w:r>
        <w:t xml:space="preserve">Cryptographic Specification</w:t>
      </w:r>
    </w:p>
    <w:p>
      <w:pPr>
        <w:pStyle w:val="FirstParagraph"/>
      </w:pPr>
      <w:r>
        <w:t xml:space="preserve">The tamper-resistant logging module implements a SHA-256 hash-chain with the following formal properties:</w:t>
      </w:r>
    </w:p>
    <w:p>
      <w:pPr>
        <w:pStyle w:val="BodyText"/>
      </w:pPr>
      <w:r>
        <w:rPr>
          <w:b/>
          <w:bCs/>
        </w:rPr>
        <w:t xml:space="preserve">Hash function:</w:t>
      </w:r>
      <w:r>
        <w:t xml:space="preserve"> </w:t>
      </w:r>
      <w:r>
        <w:t xml:space="preserve">H: {0,1}* → {0,1}^256, instantiated as SHA-256 (FIPS 180-4). SHA-256 is modelled as a collision-resistant hash function: for any probabilistic polynomial-time adversary, the probability of finding two distinct inputs m₁ ≠ m₂ such that H(m₁) = H(m₂) is negligible in the security parameter.</w:t>
      </w:r>
    </w:p>
    <w:p>
      <w:pPr>
        <w:pStyle w:val="BodyText"/>
      </w:pPr>
      <w:r>
        <w:rPr>
          <w:b/>
          <w:bCs/>
        </w:rPr>
        <w:t xml:space="preserve">Chain construction:</w:t>
      </w:r>
      <w:r>
        <w:t xml:space="preserve"> </w:t>
      </w:r>
      <w:r>
        <w:t xml:space="preserve">Each telemetry record rᵢ is committed as: hᵢ = SHA-256(seed ‖ timestamp ‖ uav_id ‖ x ‖ y ‖ battery ‖ progress ‖ attack_type ‖ hᵢ₋₁), where h₀ =</w:t>
      </w:r>
      <w:r>
        <w:t xml:space="preserve"> </w:t>
      </w:r>
      <w:r>
        <w:t xml:space="preserve">“GENESIS”</w:t>
      </w:r>
      <w:r>
        <w:t xml:space="preserve"> </w:t>
      </w:r>
      <w:r>
        <w:t xml:space="preserve">(the chain anchor), and ‖ denotes string concatenation. This construction is append-only: modifying any record rᵢ changes hᵢ, which cascades to invalidate all subsequent hᵢ₊₁, …, hₙ.</w:t>
      </w:r>
    </w:p>
    <w:p>
      <w:pPr>
        <w:pStyle w:val="BodyText"/>
      </w:pPr>
      <w:r>
        <w:rPr>
          <w:b/>
          <w:bCs/>
        </w:rPr>
        <w:t xml:space="preserve">Tamper detection:</w:t>
      </w:r>
      <w:r>
        <w:t xml:space="preserve"> </w:t>
      </w:r>
      <w:r>
        <w:t xml:space="preserve">A verifier with access to the complete chain {r₁, h₁}, …, {rₙ, hₙ} can detect any single-record tampering by recomputing the hash chain from the anchor and checking for the first divergence. Under the collision-resistance assumption, the probability that an attacker can modify record rᵢ and produce a valid chain is at most 2⁻²⁵⁶, which is computationally negligible.</w:t>
      </w:r>
    </w:p>
    <w:p>
      <w:pPr>
        <w:pStyle w:val="BodyText"/>
      </w:pPr>
      <w:r>
        <w:rPr>
          <w:b/>
          <w:bCs/>
        </w:rPr>
        <w:t xml:space="preserve">Implementation note:</w:t>
      </w:r>
      <w:r>
        <w:t xml:space="preserve"> </w:t>
      </w:r>
      <w:r>
        <w:t xml:space="preserve">In the v4 simulation, the hash function is implemented using Python’s hashlib.sha256 with UTF-8 encoded string serialisation of each record. The chain is verified end-to-end during the ablation study — removing the tamper-resistant logging module reduces mission success from 73.61% to 49.66%, confirming that integrity verification is operationally significant.</w:t>
      </w:r>
    </w:p>
    <w:p>
      <w:pPr>
        <w:pStyle w:val="BodyText"/>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18"/>
        </w:numPr>
      </w:pPr>
      <w:r>
        <w:t xml:space="preserve">UAV ID</w:t>
      </w:r>
    </w:p>
    <w:p>
      <w:pPr>
        <w:pStyle w:val="Compact"/>
        <w:numPr>
          <w:ilvl w:val="0"/>
          <w:numId w:val="1018"/>
        </w:numPr>
      </w:pPr>
      <w:r>
        <w:t xml:space="preserve">Timestamp</w:t>
      </w:r>
    </w:p>
    <w:p>
      <w:pPr>
        <w:pStyle w:val="Compact"/>
        <w:numPr>
          <w:ilvl w:val="0"/>
          <w:numId w:val="1018"/>
        </w:numPr>
      </w:pPr>
      <w:r>
        <w:t xml:space="preserve">Location</w:t>
      </w:r>
    </w:p>
    <w:p>
      <w:pPr>
        <w:pStyle w:val="Compact"/>
        <w:numPr>
          <w:ilvl w:val="0"/>
          <w:numId w:val="1018"/>
        </w:numPr>
      </w:pPr>
      <w:r>
        <w:t xml:space="preserve">Mission-zone status</w:t>
      </w:r>
    </w:p>
    <w:p>
      <w:pPr>
        <w:pStyle w:val="Compact"/>
        <w:numPr>
          <w:ilvl w:val="0"/>
          <w:numId w:val="1018"/>
        </w:numPr>
      </w:pPr>
      <w:r>
        <w:t xml:space="preserve">Communication status</w:t>
      </w:r>
    </w:p>
    <w:p>
      <w:pPr>
        <w:pStyle w:val="Compact"/>
        <w:numPr>
          <w:ilvl w:val="0"/>
          <w:numId w:val="1018"/>
        </w:numPr>
      </w:pPr>
      <w:r>
        <w:t xml:space="preserve">Attack detection status</w:t>
      </w:r>
    </w:p>
    <w:p>
      <w:pPr>
        <w:pStyle w:val="Compact"/>
        <w:numPr>
          <w:ilvl w:val="0"/>
          <w:numId w:val="1018"/>
        </w:numPr>
      </w:pPr>
      <w:r>
        <w:t xml:space="preserve">Risk score</w:t>
      </w:r>
    </w:p>
    <w:p>
      <w:pPr>
        <w:pStyle w:val="Compact"/>
        <w:numPr>
          <w:ilvl w:val="0"/>
          <w:numId w:val="1018"/>
        </w:numPr>
      </w:pPr>
      <w:r>
        <w:t xml:space="preserve">Previous record hash</w:t>
      </w:r>
    </w:p>
    <w:p>
      <w:pPr>
        <w:pStyle w:val="Compact"/>
        <w:numPr>
          <w:ilvl w:val="0"/>
          <w:numId w:val="1018"/>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5"/>
    <w:bookmarkEnd w:id="66"/>
    <w:bookmarkStart w:id="67" w:name="ra-mars-workflow"/>
    <w:p>
      <w:pPr>
        <w:pStyle w:val="Heading2"/>
      </w:pPr>
      <w:r>
        <w:t xml:space="preserve">RA-MARS Workflow</w:t>
      </w:r>
    </w:p>
    <w:p>
      <w:pPr>
        <w:pStyle w:val="FirstParagraph"/>
      </w:pPr>
      <w:r>
        <w:t xml:space="preserve">The RA-MARS workflow follows these steps:</w:t>
      </w:r>
    </w:p>
    <w:p>
      <w:pPr>
        <w:pStyle w:val="Compact"/>
        <w:numPr>
          <w:ilvl w:val="0"/>
          <w:numId w:val="1019"/>
        </w:numPr>
      </w:pPr>
      <w:r>
        <w:t xml:space="preserve">UAVs collect telemetry and mission-status data.</w:t>
      </w:r>
    </w:p>
    <w:p>
      <w:pPr>
        <w:pStyle w:val="Compact"/>
        <w:numPr>
          <w:ilvl w:val="0"/>
          <w:numId w:val="1019"/>
        </w:numPr>
      </w:pPr>
      <w:r>
        <w:t xml:space="preserve">Telemetry is transmitted to the ground control station.</w:t>
      </w:r>
    </w:p>
    <w:p>
      <w:pPr>
        <w:pStyle w:val="Compact"/>
        <w:numPr>
          <w:ilvl w:val="0"/>
          <w:numId w:val="1019"/>
        </w:numPr>
      </w:pPr>
      <w:r>
        <w:t xml:space="preserve">The AI module evaluates whether the mission state is normal or attacked.</w:t>
      </w:r>
    </w:p>
    <w:p>
      <w:pPr>
        <w:pStyle w:val="Compact"/>
        <w:numPr>
          <w:ilvl w:val="0"/>
          <w:numId w:val="1019"/>
        </w:numPr>
      </w:pPr>
      <w:r>
        <w:t xml:space="preserve">The mission-risk scoring module calculates the risk level.</w:t>
      </w:r>
    </w:p>
    <w:p>
      <w:pPr>
        <w:pStyle w:val="Compact"/>
        <w:numPr>
          <w:ilvl w:val="0"/>
          <w:numId w:val="1019"/>
        </w:numPr>
      </w:pPr>
      <w:r>
        <w:t xml:space="preserve">The adaptive mission-continuation module selects an appropriate response.</w:t>
      </w:r>
    </w:p>
    <w:p>
      <w:pPr>
        <w:pStyle w:val="Compact"/>
        <w:numPr>
          <w:ilvl w:val="0"/>
          <w:numId w:val="1019"/>
        </w:numPr>
      </w:pPr>
      <w:r>
        <w:t xml:space="preserve">Mission records are stored using tamper-resistant logging.</w:t>
      </w:r>
    </w:p>
    <w:p>
      <w:pPr>
        <w:pStyle w:val="Compact"/>
        <w:numPr>
          <w:ilvl w:val="0"/>
          <w:numId w:val="1019"/>
        </w:numPr>
      </w:pPr>
      <w:r>
        <w:t xml:space="preserve">Performance metrics are calculated for evaluation.</w:t>
      </w:r>
    </w:p>
    <w:bookmarkEnd w:id="67"/>
    <w:bookmarkStart w:id="68"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0"/>
        </w:numPr>
      </w:pPr>
      <w:r>
        <w:t xml:space="preserve">Normal operation</w:t>
      </w:r>
    </w:p>
    <w:p>
      <w:pPr>
        <w:pStyle w:val="Compact"/>
        <w:numPr>
          <w:ilvl w:val="0"/>
          <w:numId w:val="1020"/>
        </w:numPr>
      </w:pPr>
      <w:r>
        <w:t xml:space="preserve">RF jamming attack</w:t>
      </w:r>
    </w:p>
    <w:p>
      <w:pPr>
        <w:pStyle w:val="Compact"/>
        <w:numPr>
          <w:ilvl w:val="0"/>
          <w:numId w:val="1020"/>
        </w:numPr>
      </w:pPr>
      <w:r>
        <w:t xml:space="preserve">GPS spoofing attack</w:t>
      </w:r>
    </w:p>
    <w:p>
      <w:pPr>
        <w:pStyle w:val="Compact"/>
        <w:numPr>
          <w:ilvl w:val="0"/>
          <w:numId w:val="1020"/>
        </w:numPr>
      </w:pPr>
      <w:r>
        <w:t xml:space="preserve">Data-tampering attack</w:t>
      </w:r>
    </w:p>
    <w:p>
      <w:pPr>
        <w:pStyle w:val="Compact"/>
        <w:numPr>
          <w:ilvl w:val="0"/>
          <w:numId w:val="1020"/>
        </w:numPr>
      </w:pPr>
      <w:r>
        <w:t xml:space="preserve">Combined attack scenario</w:t>
      </w:r>
    </w:p>
    <w:p>
      <w:pPr>
        <w:pStyle w:val="FirstParagraph"/>
      </w:pPr>
      <w:r>
        <w:t xml:space="preserve">The framework was compared against:</w:t>
      </w:r>
    </w:p>
    <w:p>
      <w:pPr>
        <w:pStyle w:val="Compact"/>
        <w:numPr>
          <w:ilvl w:val="0"/>
          <w:numId w:val="1021"/>
        </w:numPr>
      </w:pPr>
      <w:r>
        <w:t xml:space="preserve">Conventional UAV system</w:t>
      </w:r>
    </w:p>
    <w:p>
      <w:pPr>
        <w:pStyle w:val="Compact"/>
        <w:numPr>
          <w:ilvl w:val="0"/>
          <w:numId w:val="1021"/>
        </w:numPr>
      </w:pPr>
      <w:r>
        <w:t xml:space="preserve">AI-only detection system</w:t>
      </w:r>
    </w:p>
    <w:p>
      <w:pPr>
        <w:pStyle w:val="Compact"/>
        <w:numPr>
          <w:ilvl w:val="0"/>
          <w:numId w:val="1021"/>
        </w:numPr>
      </w:pPr>
      <w:r>
        <w:t xml:space="preserve">Logging-only system</w:t>
      </w:r>
    </w:p>
    <w:p>
      <w:pPr>
        <w:pStyle w:val="Compact"/>
        <w:numPr>
          <w:ilvl w:val="0"/>
          <w:numId w:val="1021"/>
        </w:numPr>
      </w:pPr>
      <w:r>
        <w:t xml:space="preserve">Non-adaptive secure system</w:t>
      </w:r>
    </w:p>
    <w:p>
      <w:pPr>
        <w:pStyle w:val="Compact"/>
        <w:numPr>
          <w:ilvl w:val="0"/>
          <w:numId w:val="1021"/>
        </w:numPr>
      </w:pPr>
      <w:r>
        <w:t xml:space="preserve">Proposed RA-MARS framework</w:t>
      </w:r>
    </w:p>
    <w:p>
      <w:pPr>
        <w:pStyle w:val="FirstParagraph"/>
      </w:pPr>
      <w:r>
        <w:t xml:space="preserve">Each baseline receives the same mission scenario, attack intervals, telemetry fields, and mission-success criteria. The baselines differ only in the enabled RA-MARS modules so that the comparison isolates the contribution of attack detection, mission assurance scoring, adaptive continuation, and tamper-resistant provenance.</w:t>
      </w:r>
    </w:p>
    <w:bookmarkEnd w:id="68"/>
    <w:bookmarkStart w:id="69"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2"/>
        </w:numPr>
      </w:pPr>
      <w:r>
        <w:t xml:space="preserve">Mission success rate</w:t>
      </w:r>
    </w:p>
    <w:p>
      <w:pPr>
        <w:pStyle w:val="Compact"/>
        <w:numPr>
          <w:ilvl w:val="0"/>
          <w:numId w:val="1022"/>
        </w:numPr>
      </w:pPr>
      <w:r>
        <w:t xml:space="preserve">Attack detection accuracy</w:t>
      </w:r>
    </w:p>
    <w:p>
      <w:pPr>
        <w:pStyle w:val="Compact"/>
        <w:numPr>
          <w:ilvl w:val="0"/>
          <w:numId w:val="1022"/>
        </w:numPr>
      </w:pPr>
      <w:r>
        <w:t xml:space="preserve">Precision</w:t>
      </w:r>
    </w:p>
    <w:p>
      <w:pPr>
        <w:pStyle w:val="Compact"/>
        <w:numPr>
          <w:ilvl w:val="0"/>
          <w:numId w:val="1022"/>
        </w:numPr>
      </w:pPr>
      <w:r>
        <w:t xml:space="preserve">Recall</w:t>
      </w:r>
    </w:p>
    <w:p>
      <w:pPr>
        <w:pStyle w:val="Compact"/>
        <w:numPr>
          <w:ilvl w:val="0"/>
          <w:numId w:val="1022"/>
        </w:numPr>
      </w:pPr>
      <w:r>
        <w:t xml:space="preserve">F1-score</w:t>
      </w:r>
    </w:p>
    <w:p>
      <w:pPr>
        <w:pStyle w:val="Compact"/>
        <w:numPr>
          <w:ilvl w:val="0"/>
          <w:numId w:val="1022"/>
        </w:numPr>
      </w:pPr>
      <w:r>
        <w:t xml:space="preserve">Packet delivery ratio</w:t>
      </w:r>
    </w:p>
    <w:p>
      <w:pPr>
        <w:pStyle w:val="Compact"/>
        <w:numPr>
          <w:ilvl w:val="0"/>
          <w:numId w:val="1022"/>
        </w:numPr>
      </w:pPr>
      <w:r>
        <w:t xml:space="preserve">Average latency</w:t>
      </w:r>
    </w:p>
    <w:p>
      <w:pPr>
        <w:pStyle w:val="Compact"/>
        <w:numPr>
          <w:ilvl w:val="0"/>
          <w:numId w:val="1022"/>
        </w:numPr>
      </w:pPr>
      <w:r>
        <w:t xml:space="preserve">Energy consumption</w:t>
      </w:r>
    </w:p>
    <w:p>
      <w:pPr>
        <w:pStyle w:val="Compact"/>
        <w:numPr>
          <w:ilvl w:val="0"/>
          <w:numId w:val="1022"/>
        </w:numPr>
      </w:pPr>
      <w:r>
        <w:t xml:space="preserve">Tamper-detection rate</w:t>
      </w:r>
    </w:p>
    <w:p>
      <w:pPr>
        <w:pStyle w:val="Compact"/>
        <w:numPr>
          <w:ilvl w:val="0"/>
          <w:numId w:val="1022"/>
        </w:numPr>
      </w:pPr>
      <w:r>
        <w:t xml:space="preserve">Mission recovery time</w:t>
      </w:r>
    </w:p>
    <w:bookmarkEnd w:id="69"/>
    <w:bookmarkStart w:id="70"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70"/>
    <w:bookmarkEnd w:id="71"/>
    <w:bookmarkStart w:id="94" w:name="experimental-setup"/>
    <w:p>
      <w:pPr>
        <w:pStyle w:val="Heading1"/>
      </w:pPr>
      <w:r>
        <w:t xml:space="preserve">Experimental Setup</w:t>
      </w:r>
    </w:p>
    <w:bookmarkStart w:id="72"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3"/>
        </w:numPr>
      </w:pPr>
      <w:r>
        <w:t xml:space="preserve">Normal operation</w:t>
      </w:r>
    </w:p>
    <w:p>
      <w:pPr>
        <w:pStyle w:val="Compact"/>
        <w:numPr>
          <w:ilvl w:val="0"/>
          <w:numId w:val="1023"/>
        </w:numPr>
      </w:pPr>
      <w:r>
        <w:t xml:space="preserve">RF jamming attack</w:t>
      </w:r>
    </w:p>
    <w:p>
      <w:pPr>
        <w:pStyle w:val="Compact"/>
        <w:numPr>
          <w:ilvl w:val="0"/>
          <w:numId w:val="1023"/>
        </w:numPr>
      </w:pPr>
      <w:r>
        <w:t xml:space="preserve">GPS/GNSS spoofing attack</w:t>
      </w:r>
    </w:p>
    <w:p>
      <w:pPr>
        <w:pStyle w:val="Compact"/>
        <w:numPr>
          <w:ilvl w:val="0"/>
          <w:numId w:val="1023"/>
        </w:numPr>
      </w:pPr>
      <w:r>
        <w:t xml:space="preserve">Mission-data tampering attack</w:t>
      </w:r>
    </w:p>
    <w:p>
      <w:pPr>
        <w:pStyle w:val="Compact"/>
        <w:numPr>
          <w:ilvl w:val="0"/>
          <w:numId w:val="1023"/>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72"/>
    <w:bookmarkStart w:id="73"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73"/>
    <w:bookmarkStart w:id="74"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4"/>
        </w:numPr>
      </w:pPr>
      <w:r>
        <w:t xml:space="preserve">a 5 km × 5 km surveillance region</w:t>
      </w:r>
    </w:p>
    <w:p>
      <w:pPr>
        <w:pStyle w:val="Compact"/>
        <w:numPr>
          <w:ilvl w:val="0"/>
          <w:numId w:val="1024"/>
        </w:numPr>
      </w:pPr>
      <w:r>
        <w:t xml:space="preserve">25 grid-based mission zones</w:t>
      </w:r>
    </w:p>
    <w:p>
      <w:pPr>
        <w:pStyle w:val="Compact"/>
        <w:numPr>
          <w:ilvl w:val="0"/>
          <w:numId w:val="1024"/>
        </w:numPr>
      </w:pPr>
      <w:r>
        <w:t xml:space="preserve">10, 20, and 30 UAV configurations</w:t>
      </w:r>
    </w:p>
    <w:p>
      <w:pPr>
        <w:pStyle w:val="Compact"/>
        <w:numPr>
          <w:ilvl w:val="0"/>
          <w:numId w:val="1024"/>
        </w:numPr>
      </w:pPr>
      <w:r>
        <w:t xml:space="preserve">one ground control station</w:t>
      </w:r>
    </w:p>
    <w:p>
      <w:pPr>
        <w:pStyle w:val="Compact"/>
        <w:numPr>
          <w:ilvl w:val="0"/>
          <w:numId w:val="1024"/>
        </w:numPr>
      </w:pPr>
      <w:r>
        <w:t xml:space="preserve">periodic telemetry transmission</w:t>
      </w:r>
    </w:p>
    <w:p>
      <w:pPr>
        <w:pStyle w:val="Compact"/>
        <w:numPr>
          <w:ilvl w:val="0"/>
          <w:numId w:val="1024"/>
        </w:numPr>
      </w:pPr>
      <w:r>
        <w:t xml:space="preserve">route-following and zone-coverage objectives</w:t>
      </w:r>
    </w:p>
    <w:p>
      <w:pPr>
        <w:pStyle w:val="Compact"/>
        <w:numPr>
          <w:ilvl w:val="0"/>
          <w:numId w:val="1024"/>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4"/>
    <w:bookmarkStart w:id="75"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5"/>
    <w:bookmarkStart w:id="81" w:name="attack-scenarios"/>
    <w:p>
      <w:pPr>
        <w:pStyle w:val="Heading2"/>
      </w:pPr>
      <w:r>
        <w:t xml:space="preserve">Attack Scenarios</w:t>
      </w:r>
    </w:p>
    <w:bookmarkStart w:id="76"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6"/>
    <w:bookmarkStart w:id="77"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5"/>
        </w:numPr>
      </w:pPr>
      <w:r>
        <w:t xml:space="preserve">attack start time</w:t>
      </w:r>
    </w:p>
    <w:p>
      <w:pPr>
        <w:pStyle w:val="Compact"/>
        <w:numPr>
          <w:ilvl w:val="0"/>
          <w:numId w:val="1025"/>
        </w:numPr>
      </w:pPr>
      <w:r>
        <w:t xml:space="preserve">attack duration</w:t>
      </w:r>
    </w:p>
    <w:p>
      <w:pPr>
        <w:pStyle w:val="Compact"/>
        <w:numPr>
          <w:ilvl w:val="0"/>
          <w:numId w:val="1025"/>
        </w:numPr>
      </w:pPr>
      <w:r>
        <w:t xml:space="preserve">affected UAV ratio</w:t>
      </w:r>
    </w:p>
    <w:p>
      <w:pPr>
        <w:pStyle w:val="Compact"/>
        <w:numPr>
          <w:ilvl w:val="0"/>
          <w:numId w:val="1025"/>
        </w:numPr>
      </w:pPr>
      <w:r>
        <w:t xml:space="preserve">packet loss intensity</w:t>
      </w:r>
    </w:p>
    <w:p>
      <w:pPr>
        <w:pStyle w:val="Compact"/>
        <w:numPr>
          <w:ilvl w:val="0"/>
          <w:numId w:val="1025"/>
        </w:numPr>
      </w:pPr>
      <w:r>
        <w:t xml:space="preserve">additional latency</w:t>
      </w:r>
    </w:p>
    <w:bookmarkEnd w:id="77"/>
    <w:bookmarkStart w:id="78"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6"/>
        </w:numPr>
      </w:pPr>
      <w:r>
        <w:t xml:space="preserve">sudden location jumps</w:t>
      </w:r>
    </w:p>
    <w:p>
      <w:pPr>
        <w:pStyle w:val="Compact"/>
        <w:numPr>
          <w:ilvl w:val="0"/>
          <w:numId w:val="1026"/>
        </w:numPr>
      </w:pPr>
      <w:r>
        <w:t xml:space="preserve">gradual position drift</w:t>
      </w:r>
    </w:p>
    <w:p>
      <w:pPr>
        <w:pStyle w:val="Compact"/>
        <w:numPr>
          <w:ilvl w:val="0"/>
          <w:numId w:val="1026"/>
        </w:numPr>
      </w:pPr>
      <w:r>
        <w:t xml:space="preserve">route deviation</w:t>
      </w:r>
    </w:p>
    <w:p>
      <w:pPr>
        <w:pStyle w:val="Compact"/>
        <w:numPr>
          <w:ilvl w:val="0"/>
          <w:numId w:val="1026"/>
        </w:numPr>
      </w:pPr>
      <w:r>
        <w:t xml:space="preserve">velocity inconsistency</w:t>
      </w:r>
    </w:p>
    <w:p>
      <w:pPr>
        <w:pStyle w:val="Compact"/>
        <w:numPr>
          <w:ilvl w:val="0"/>
          <w:numId w:val="1026"/>
        </w:numPr>
      </w:pPr>
      <w:r>
        <w:t xml:space="preserve">incorrect mission-zone reporting</w:t>
      </w:r>
    </w:p>
    <w:bookmarkEnd w:id="78"/>
    <w:bookmarkStart w:id="79"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7"/>
        </w:numPr>
      </w:pPr>
      <w:r>
        <w:t xml:space="preserve">changed UAV coordinates</w:t>
      </w:r>
    </w:p>
    <w:p>
      <w:pPr>
        <w:pStyle w:val="Compact"/>
        <w:numPr>
          <w:ilvl w:val="0"/>
          <w:numId w:val="1027"/>
        </w:numPr>
      </w:pPr>
      <w:r>
        <w:t xml:space="preserve">modified timestamps</w:t>
      </w:r>
    </w:p>
    <w:p>
      <w:pPr>
        <w:pStyle w:val="Compact"/>
        <w:numPr>
          <w:ilvl w:val="0"/>
          <w:numId w:val="1027"/>
        </w:numPr>
      </w:pPr>
      <w:r>
        <w:t xml:space="preserve">altered mission-zone status</w:t>
      </w:r>
    </w:p>
    <w:p>
      <w:pPr>
        <w:pStyle w:val="Compact"/>
        <w:numPr>
          <w:ilvl w:val="0"/>
          <w:numId w:val="1027"/>
        </w:numPr>
      </w:pPr>
      <w:r>
        <w:t xml:space="preserve">broken hash-chain verification</w:t>
      </w:r>
    </w:p>
    <w:bookmarkEnd w:id="79"/>
    <w:bookmarkStart w:id="80"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0"/>
    <w:bookmarkEnd w:id="81"/>
    <w:bookmarkStart w:id="83"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Start w:id="82" w:name="baseline-module-configuration"/>
    <w:p>
      <w:pPr>
        <w:pStyle w:val="Heading3"/>
      </w:pPr>
      <w:r>
        <w:t xml:space="preserve">Baseline Module Configuration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System</w:t>
            </w:r>
          </w:p>
        </w:tc>
        <w:tc>
          <w:tcPr/>
          <w:p>
            <w:pPr>
              <w:pStyle w:val="Compact"/>
              <w:jc w:val="right"/>
            </w:pPr>
            <w:r>
              <w:t xml:space="preserve">AI detection</w:t>
            </w:r>
          </w:p>
        </w:tc>
        <w:tc>
          <w:tcPr/>
          <w:p>
            <w:pPr>
              <w:pStyle w:val="Compact"/>
              <w:jc w:val="right"/>
            </w:pPr>
            <w:r>
              <w:t xml:space="preserve">Mission Assurance Index</w:t>
            </w:r>
          </w:p>
        </w:tc>
        <w:tc>
          <w:tcPr/>
          <w:p>
            <w:pPr>
              <w:pStyle w:val="Compact"/>
              <w:jc w:val="right"/>
            </w:pPr>
            <w:r>
              <w:t xml:space="preserve">Digital twin action selection</w:t>
            </w:r>
          </w:p>
        </w:tc>
        <w:tc>
          <w:tcPr/>
          <w:p>
            <w:pPr>
              <w:pStyle w:val="Compact"/>
              <w:jc w:val="right"/>
            </w:pPr>
            <w:r>
              <w:t xml:space="preserve">Adaptive continuation</w:t>
            </w:r>
          </w:p>
        </w:tc>
        <w:tc>
          <w:tcPr/>
          <w:p>
            <w:pPr>
              <w:pStyle w:val="Compact"/>
              <w:jc w:val="right"/>
            </w:pPr>
            <w:r>
              <w:t xml:space="preserve">Tamper-resistant logging</w:t>
            </w:r>
          </w:p>
        </w:tc>
      </w:tr>
      <w:tr>
        <w:tc>
          <w:tcPr/>
          <w:p>
            <w:pPr>
              <w:pStyle w:val="Compact"/>
            </w:pPr>
            <w:r>
              <w:t xml:space="preserve">B1: Conventional UAV System</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r>
      <w:tr>
        <w:tc>
          <w:tcPr/>
          <w:p>
            <w:pPr>
              <w:pStyle w:val="Compact"/>
            </w:pPr>
            <w:r>
              <w:t xml:space="preserve">B2: AI-Only Detection System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r>
      <w:tr>
        <w:tc>
          <w:tcPr/>
          <w:p>
            <w:pPr>
              <w:pStyle w:val="Compact"/>
            </w:pPr>
            <w:r>
              <w:t xml:space="preserve">B3: Logging-Only System</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r>
      <w:tr>
        <w:tc>
          <w:tcPr/>
          <w:p>
            <w:pPr>
              <w:pStyle w:val="Compact"/>
            </w:pPr>
            <w:r>
              <w:t xml:space="preserve">B4: Non-Adaptive Secure System</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r>
      <w:tr>
        <w:tc>
          <w:tcPr/>
          <w:p>
            <w:pPr>
              <w:pStyle w:val="Compact"/>
            </w:pPr>
            <w:r>
              <w:t xml:space="preserve">B5: RA-MARS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bl>
    <w:bookmarkEnd w:id="82"/>
    <w:bookmarkEnd w:id="83"/>
    <w:bookmarkStart w:id="85" w:name="ai-detection-models"/>
    <w:p>
      <w:pPr>
        <w:pStyle w:val="Heading2"/>
      </w:pPr>
      <w:r>
        <w:t xml:space="preserve">AI Detection Models</w:t>
      </w:r>
    </w:p>
    <w:p>
      <w:pPr>
        <w:pStyle w:val="FirstParagraph"/>
      </w:pPr>
      <w:r>
        <w:t xml:space="preserve">The AI detection module classifies UAV mission states into: normal, jamming, spoofing, tampering, and combined attack classes (eight classes total including pairwise combinations). The following models were evaluated:</w:t>
      </w:r>
    </w:p>
    <w:p>
      <w:pPr>
        <w:pStyle w:val="Compact"/>
        <w:numPr>
          <w:ilvl w:val="0"/>
          <w:numId w:val="1028"/>
        </w:numPr>
      </w:pPr>
      <w:r>
        <w:t xml:space="preserve">Logistic Regression (sequence-flattened input)</w:t>
      </w:r>
    </w:p>
    <w:p>
      <w:pPr>
        <w:pStyle w:val="Compact"/>
        <w:numPr>
          <w:ilvl w:val="0"/>
          <w:numId w:val="1028"/>
        </w:numPr>
      </w:pPr>
      <w:r>
        <w:t xml:space="preserve">Support Vector Machine (sequence-flattened input)</w:t>
      </w:r>
    </w:p>
    <w:p>
      <w:pPr>
        <w:pStyle w:val="Compact"/>
        <w:numPr>
          <w:ilvl w:val="0"/>
          <w:numId w:val="1028"/>
        </w:numPr>
      </w:pPr>
      <w:r>
        <w:t xml:space="preserve">Random Forest (sequence-flattened input)</w:t>
      </w:r>
    </w:p>
    <w:p>
      <w:pPr>
        <w:pStyle w:val="Compact"/>
        <w:numPr>
          <w:ilvl w:val="0"/>
          <w:numId w:val="1028"/>
        </w:numPr>
      </w:pPr>
      <w:r>
        <w:t xml:space="preserve">Gradient Boosting / XGBoost (sequence-flattened input)</w:t>
      </w:r>
    </w:p>
    <w:p>
      <w:pPr>
        <w:pStyle w:val="Compact"/>
        <w:numPr>
          <w:ilvl w:val="0"/>
          <w:numId w:val="1028"/>
        </w:numPr>
      </w:pPr>
      <w:r>
        <w:t xml:space="preserve">GRU (recurrent, 20-step window)</w:t>
      </w:r>
    </w:p>
    <w:p>
      <w:pPr>
        <w:pStyle w:val="Compact"/>
        <w:numPr>
          <w:ilvl w:val="0"/>
          <w:numId w:val="1028"/>
        </w:numPr>
      </w:pPr>
      <w:r>
        <w:t xml:space="preserve">LSTM (recurrent, 20-step window)</w:t>
      </w:r>
    </w:p>
    <w:p>
      <w:pPr>
        <w:pStyle w:val="Compact"/>
        <w:numPr>
          <w:ilvl w:val="0"/>
          <w:numId w:val="1028"/>
        </w:numPr>
      </w:pPr>
      <w:r>
        <w:t xml:space="preserve">Weighted GRU (class-weighted loss)</w:t>
      </w:r>
    </w:p>
    <w:p>
      <w:pPr>
        <w:pStyle w:val="Compact"/>
        <w:numPr>
          <w:ilvl w:val="0"/>
          <w:numId w:val="1028"/>
        </w:numPr>
      </w:pPr>
      <w:r>
        <w:t xml:space="preserve">Weighted LSTM (class-weighted loss)</w:t>
      </w:r>
    </w:p>
    <w:p>
      <w:pPr>
        <w:pStyle w:val="FirstParagraph"/>
      </w:pPr>
      <w:r>
        <w:t xml:space="preserve">The best-performing model was selected based on macro F1-score to account for class imbalance across the eight mission-state classes.</w:t>
      </w:r>
    </w:p>
    <w:bookmarkStart w:id="84" w:name="lstm-and-gru-hyperparameters"/>
    <w:p>
      <w:pPr>
        <w:pStyle w:val="Heading3"/>
      </w:pPr>
      <w:r>
        <w:t xml:space="preserve">LSTM and GRU Hyperparameters</w:t>
      </w:r>
    </w:p>
    <w:p>
      <w:pPr>
        <w:pStyle w:val="FirstParagraph"/>
      </w:pPr>
      <w:r>
        <w:t xml:space="preserve">Table 2 lists the hyperparameters used for the recurrent models in the v4 evaluation.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Value</w:t>
            </w:r>
          </w:p>
        </w:tc>
      </w:tr>
      <w:tr>
        <w:tc>
          <w:tcPr/>
          <w:p>
            <w:pPr>
              <w:pStyle w:val="Compact"/>
            </w:pPr>
            <w:r>
              <w:t xml:space="preserve">Input sequence length</w:t>
            </w:r>
          </w:p>
        </w:tc>
        <w:tc>
          <w:tcPr/>
          <w:p>
            <w:pPr>
              <w:pStyle w:val="Compact"/>
            </w:pPr>
            <w:r>
              <w:t xml:space="preserve">20 steps</w:t>
            </w:r>
          </w:p>
        </w:tc>
      </w:tr>
      <w:tr>
        <w:tc>
          <w:tcPr/>
          <w:p>
            <w:pPr>
              <w:pStyle w:val="Compact"/>
            </w:pPr>
            <w:r>
              <w:t xml:space="preserve">Input features per step</w:t>
            </w:r>
          </w:p>
        </w:tc>
        <w:tc>
          <w:tcPr/>
          <w:p>
            <w:pPr>
              <w:pStyle w:val="Compact"/>
            </w:pPr>
            <w:r>
              <w:t xml:space="preserve">9</w:t>
            </w:r>
          </w:p>
        </w:tc>
      </w:tr>
      <w:tr>
        <w:tc>
          <w:tcPr/>
          <w:p>
            <w:pPr>
              <w:pStyle w:val="Compact"/>
            </w:pPr>
            <w:r>
              <w:t xml:space="preserve">Hidden units (LSTM/GRU)</w:t>
            </w:r>
          </w:p>
        </w:tc>
        <w:tc>
          <w:tcPr/>
          <w:p>
            <w:pPr>
              <w:pStyle w:val="Compact"/>
            </w:pPr>
            <w:r>
              <w:t xml:space="preserve">64</w:t>
            </w:r>
          </w:p>
        </w:tc>
      </w:tr>
      <w:tr>
        <w:tc>
          <w:tcPr/>
          <w:p>
            <w:pPr>
              <w:pStyle w:val="Compact"/>
            </w:pPr>
            <w:r>
              <w:t xml:space="preserve">Number of recurrent layers</w:t>
            </w:r>
          </w:p>
        </w:tc>
        <w:tc>
          <w:tcPr/>
          <w:p>
            <w:pPr>
              <w:pStyle w:val="Compact"/>
            </w:pPr>
            <w:r>
              <w:t xml:space="preserve">2</w:t>
            </w:r>
          </w:p>
        </w:tc>
      </w:tr>
      <w:tr>
        <w:tc>
          <w:tcPr/>
          <w:p>
            <w:pPr>
              <w:pStyle w:val="Compact"/>
            </w:pPr>
            <w:r>
              <w:t xml:space="preserve">Dropout rate</w:t>
            </w:r>
          </w:p>
        </w:tc>
        <w:tc>
          <w:tcPr/>
          <w:p>
            <w:pPr>
              <w:pStyle w:val="Compact"/>
            </w:pPr>
            <w:r>
              <w:t xml:space="preserve">0.30</w:t>
            </w:r>
          </w:p>
        </w:tc>
      </w:tr>
      <w:tr>
        <w:tc>
          <w:tcPr/>
          <w:p>
            <w:pPr>
              <w:pStyle w:val="Compact"/>
            </w:pPr>
            <w:r>
              <w:t xml:space="preserve">Optimizer</w:t>
            </w:r>
          </w:p>
        </w:tc>
        <w:tc>
          <w:tcPr/>
          <w:p>
            <w:pPr>
              <w:pStyle w:val="Compact"/>
            </w:pPr>
            <w:r>
              <w:t xml:space="preserve">Adam</w:t>
            </w:r>
          </w:p>
        </w:tc>
      </w:tr>
      <w:tr>
        <w:tc>
          <w:tcPr/>
          <w:p>
            <w:pPr>
              <w:pStyle w:val="Compact"/>
            </w:pPr>
            <w:r>
              <w:t xml:space="preserve">Learning rate</w:t>
            </w:r>
          </w:p>
        </w:tc>
        <w:tc>
          <w:tcPr/>
          <w:p>
            <w:pPr>
              <w:pStyle w:val="Compact"/>
            </w:pPr>
            <w:r>
              <w:t xml:space="preserve">0.001</w:t>
            </w:r>
          </w:p>
        </w:tc>
      </w:tr>
      <w:tr>
        <w:tc>
          <w:tcPr/>
          <w:p>
            <w:pPr>
              <w:pStyle w:val="Compact"/>
            </w:pPr>
            <w:r>
              <w:t xml:space="preserve">Batch size</w:t>
            </w:r>
          </w:p>
        </w:tc>
        <w:tc>
          <w:tcPr/>
          <w:p>
            <w:pPr>
              <w:pStyle w:val="Compact"/>
            </w:pPr>
            <w:r>
              <w:t xml:space="preserve">64</w:t>
            </w:r>
          </w:p>
        </w:tc>
      </w:tr>
      <w:tr>
        <w:tc>
          <w:tcPr/>
          <w:p>
            <w:pPr>
              <w:pStyle w:val="Compact"/>
            </w:pPr>
            <w:r>
              <w:t xml:space="preserve">Training epochs</w:t>
            </w:r>
          </w:p>
        </w:tc>
        <w:tc>
          <w:tcPr/>
          <w:p>
            <w:pPr>
              <w:pStyle w:val="Compact"/>
            </w:pPr>
            <w:r>
              <w:t xml:space="preserve">50</w:t>
            </w:r>
          </w:p>
        </w:tc>
      </w:tr>
      <w:tr>
        <w:tc>
          <w:tcPr/>
          <w:p>
            <w:pPr>
              <w:pStyle w:val="Compact"/>
            </w:pPr>
            <w:r>
              <w:t xml:space="preserve">Early stopping patience</w:t>
            </w:r>
          </w:p>
        </w:tc>
        <w:tc>
          <w:tcPr/>
          <w:p>
            <w:pPr>
              <w:pStyle w:val="Compact"/>
            </w:pPr>
            <w:r>
              <w:t xml:space="preserve">10 epochs</w:t>
            </w:r>
          </w:p>
        </w:tc>
      </w:tr>
      <w:tr>
        <w:tc>
          <w:tcPr/>
          <w:p>
            <w:pPr>
              <w:pStyle w:val="Compact"/>
            </w:pPr>
            <w:r>
              <w:t xml:space="preserve">Loss function</w:t>
            </w:r>
          </w:p>
        </w:tc>
        <w:tc>
          <w:tcPr/>
          <w:p>
            <w:pPr>
              <w:pStyle w:val="Compact"/>
            </w:pPr>
            <w:r>
              <w:t xml:space="preserve">Cross-entropy (weighted for Weighted LSTM/GRU)</w:t>
            </w:r>
          </w:p>
        </w:tc>
      </w:tr>
      <w:tr>
        <w:tc>
          <w:tcPr/>
          <w:p>
            <w:pPr>
              <w:pStyle w:val="Compact"/>
            </w:pPr>
            <w:r>
              <w:t xml:space="preserve">Train / validation / test split</w:t>
            </w:r>
          </w:p>
        </w:tc>
        <w:tc>
          <w:tcPr/>
          <w:p>
            <w:pPr>
              <w:pStyle w:val="Compact"/>
            </w:pPr>
            <w:r>
              <w:t xml:space="preserve">70% / 15% / 15% (stratified by class)</w:t>
            </w:r>
          </w:p>
        </w:tc>
      </w:tr>
      <w:tr>
        <w:tc>
          <w:tcPr/>
          <w:p>
            <w:pPr>
              <w:pStyle w:val="Compact"/>
            </w:pPr>
            <w:r>
              <w:t xml:space="preserve">Random seed</w:t>
            </w:r>
          </w:p>
        </w:tc>
        <w:tc>
          <w:tcPr/>
          <w:p>
            <w:pPr>
              <w:pStyle w:val="Compact"/>
            </w:pPr>
            <w:r>
              <w:t xml:space="preserve">42 (fixed for reproducibility)</w:t>
            </w:r>
          </w:p>
        </w:tc>
      </w:tr>
    </w:tbl>
    <w:p>
      <w:pPr>
        <w:pStyle w:val="BodyText"/>
      </w:pPr>
      <w:r>
        <w:t xml:space="preserve">Class weights for the Weighted LSTM and Weighted GRU models were computed as the inverse frequency of each class in the training set to address class imbalance across the eight mission-state categories.</w:t>
      </w:r>
    </w:p>
    <w:bookmarkEnd w:id="84"/>
    <w:bookmarkEnd w:id="85"/>
    <w:bookmarkStart w:id="86"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p>
      <w:pPr>
        <w:pStyle w:val="BodyText"/>
      </w:pPr>
      <w:r>
        <w:t xml:space="preserve">Derived mission-assurance variables are excluded from attack-detection inputs. The classifier does not use Mission Assurance Index, communication score, navigation score, coverage score, integrity score, recovery score, risk level, adaptive action, or projected mission assurance. These variables are used only after classification for mission-level scoring, action selection, and evaluation.</w:t>
      </w:r>
    </w:p>
    <w:bookmarkEnd w:id="86"/>
    <w:bookmarkStart w:id="87"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7"/>
    <w:bookmarkStart w:id="88"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29"/>
        </w:numPr>
      </w:pPr>
      <w:r>
        <w:t xml:space="preserve">Generate synthetic UAV mission data for each scenario.</w:t>
      </w:r>
    </w:p>
    <w:p>
      <w:pPr>
        <w:pStyle w:val="Compact"/>
        <w:numPr>
          <w:ilvl w:val="0"/>
          <w:numId w:val="1029"/>
        </w:numPr>
      </w:pPr>
      <w:r>
        <w:t xml:space="preserve">Inject attack effects according to the defined attack model.</w:t>
      </w:r>
    </w:p>
    <w:p>
      <w:pPr>
        <w:pStyle w:val="Compact"/>
        <w:numPr>
          <w:ilvl w:val="0"/>
          <w:numId w:val="1029"/>
        </w:numPr>
      </w:pPr>
      <w:r>
        <w:t xml:space="preserve">Train AI detection models using the generated dataset.</w:t>
      </w:r>
    </w:p>
    <w:p>
      <w:pPr>
        <w:pStyle w:val="Compact"/>
        <w:numPr>
          <w:ilvl w:val="0"/>
          <w:numId w:val="1029"/>
        </w:numPr>
      </w:pPr>
      <w:r>
        <w:t xml:space="preserve">Evaluate attack classification performance.</w:t>
      </w:r>
    </w:p>
    <w:p>
      <w:pPr>
        <w:pStyle w:val="Compact"/>
        <w:numPr>
          <w:ilvl w:val="0"/>
          <w:numId w:val="1029"/>
        </w:numPr>
      </w:pPr>
      <w:r>
        <w:t xml:space="preserve">Compute mission-risk scores.</w:t>
      </w:r>
    </w:p>
    <w:p>
      <w:pPr>
        <w:pStyle w:val="Compact"/>
        <w:numPr>
          <w:ilvl w:val="0"/>
          <w:numId w:val="1029"/>
        </w:numPr>
      </w:pPr>
      <w:r>
        <w:t xml:space="preserve">Apply adaptive mission-continuation logic in RA-MARS.</w:t>
      </w:r>
    </w:p>
    <w:p>
      <w:pPr>
        <w:pStyle w:val="Compact"/>
        <w:numPr>
          <w:ilvl w:val="0"/>
          <w:numId w:val="1029"/>
        </w:numPr>
      </w:pPr>
      <w:r>
        <w:t xml:space="preserve">Verify mission logs using tamper-resistant logging.</w:t>
      </w:r>
    </w:p>
    <w:p>
      <w:pPr>
        <w:pStyle w:val="Compact"/>
        <w:numPr>
          <w:ilvl w:val="0"/>
          <w:numId w:val="1029"/>
        </w:numPr>
      </w:pPr>
      <w:r>
        <w:t xml:space="preserve">Compare RA-MARS against baseline systems.</w:t>
      </w:r>
    </w:p>
    <w:p>
      <w:pPr>
        <w:pStyle w:val="Compact"/>
        <w:numPr>
          <w:ilvl w:val="0"/>
          <w:numId w:val="1029"/>
        </w:numPr>
      </w:pPr>
      <w:r>
        <w:t xml:space="preserve">Generate result tables and graphs.</w:t>
      </w:r>
    </w:p>
    <w:p>
      <w:pPr>
        <w:pStyle w:val="Compact"/>
        <w:numPr>
          <w:ilvl w:val="0"/>
          <w:numId w:val="1029"/>
        </w:numPr>
      </w:pPr>
      <w:r>
        <w:t xml:space="preserve">Interpret the findings from a mission-assurance perspective.</w:t>
      </w:r>
    </w:p>
    <w:bookmarkEnd w:id="88"/>
    <w:bookmarkStart w:id="89"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9"/>
    <w:bookmarkStart w:id="90"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bookmarkEnd w:id="90"/>
    <w:bookmarkStart w:id="91" w:name="reproducibility-controls"/>
    <w:p>
      <w:pPr>
        <w:pStyle w:val="Heading2"/>
      </w:pPr>
      <w:r>
        <w:t xml:space="preserve">Reproducibility Controls</w:t>
      </w:r>
    </w:p>
    <w:p>
      <w:pPr>
        <w:pStyle w:val="FirstParagraph"/>
      </w:pPr>
      <w:r>
        <w:t xml:space="preserve">The v4 simulation uses fixed scenario definitions, fixed random seeds, sequence-safe window generation, and stratified class splitting. The mission area is 5 km x 5 km, the nominal mission duration is 600 s, telemetry is sampled at 1 Hz, and each scenario is evaluated over 30 runs. The primary swarm configurations include 10, 20, and 30 UAVs. Attack effects are injected through software-controlled parameters: affected UAV ratio, attack start time, attack duration, jammer ERP, SINR-derived packet delivery ratio, additive latency, spoofing drift, spoofing jump magnitude, and tamper rate.</w:t>
      </w:r>
    </w:p>
    <w:p>
      <w:pPr>
        <w:pStyle w:val="BodyText"/>
      </w:pPr>
      <w:r>
        <w:t xml:space="preserve">All model-performance values, RF-channel validation values, ablation results, scalability results, attack-intensity results, latency-budget values, adversarial-robustness results, and PX4-style validation summaries are stored as CSV files under the repository results directories. The manuscript reports only values generated from these result files.</w:t>
      </w:r>
    </w:p>
    <w:p>
      <w:r>
        <w:pict>
          <v:rect style="width:0;height:1.5pt" o:hralign="center" o:hrstd="t" o:hr="t"/>
        </w:pict>
      </w:r>
    </w:p>
    <w:p>
      <w:r>
        <w:pict>
          <v:rect style="width:0;height:1.5pt" o:hralign="center" o:hrstd="t" o:hr="t"/>
        </w:pict>
      </w:r>
    </w:p>
    <w:bookmarkEnd w:id="91"/>
    <w:bookmarkStart w:id="93" w:name="v4-prior-work-comparison"/>
    <w:p>
      <w:pPr>
        <w:pStyle w:val="Heading2"/>
      </w:pPr>
      <w:r>
        <w:t xml:space="preserve">v4 Prior Work Comparison</w:t>
      </w:r>
    </w:p>
    <w:bookmarkStart w:id="92"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p>
      <w:r>
        <w:pict>
          <v:rect style="width:0;height:1.5pt" o:hralign="center" o:hrstd="t" o:hr="t"/>
        </w:pict>
      </w:r>
    </w:p>
    <w:bookmarkEnd w:id="92"/>
    <w:bookmarkEnd w:id="93"/>
    <w:bookmarkEnd w:id="94"/>
    <w:bookmarkStart w:id="97"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0"/>
        </w:numPr>
      </w:pPr>
      <w:r>
        <w:t xml:space="preserve">packet loss rate</w:t>
      </w:r>
    </w:p>
    <w:p>
      <w:pPr>
        <w:pStyle w:val="Compact"/>
        <w:numPr>
          <w:ilvl w:val="0"/>
          <w:numId w:val="1030"/>
        </w:numPr>
      </w:pPr>
      <w:r>
        <w:t xml:space="preserve">communication latency</w:t>
      </w:r>
    </w:p>
    <w:p>
      <w:pPr>
        <w:pStyle w:val="Compact"/>
        <w:numPr>
          <w:ilvl w:val="0"/>
          <w:numId w:val="1030"/>
        </w:numPr>
      </w:pPr>
      <w:r>
        <w:t xml:space="preserve">route deviation</w:t>
      </w:r>
    </w:p>
    <w:p>
      <w:pPr>
        <w:pStyle w:val="Compact"/>
        <w:numPr>
          <w:ilvl w:val="0"/>
          <w:numId w:val="1030"/>
        </w:numPr>
      </w:pPr>
      <w:r>
        <w:t xml:space="preserve">GPS jump</w:t>
      </w:r>
    </w:p>
    <w:p>
      <w:pPr>
        <w:pStyle w:val="Compact"/>
        <w:numPr>
          <w:ilvl w:val="0"/>
          <w:numId w:val="1030"/>
        </w:numPr>
      </w:pPr>
      <w:r>
        <w:t xml:space="preserve">velocity inconsistency</w:t>
      </w:r>
    </w:p>
    <w:p>
      <w:pPr>
        <w:pStyle w:val="Compact"/>
        <w:numPr>
          <w:ilvl w:val="0"/>
          <w:numId w:val="1030"/>
        </w:numPr>
      </w:pPr>
      <w:r>
        <w:t xml:space="preserve">battery level</w:t>
      </w:r>
    </w:p>
    <w:p>
      <w:pPr>
        <w:pStyle w:val="Compact"/>
        <w:numPr>
          <w:ilvl w:val="0"/>
          <w:numId w:val="1030"/>
        </w:numPr>
      </w:pPr>
      <w:r>
        <w:t xml:space="preserve">mission progress</w:t>
      </w:r>
    </w:p>
    <w:p>
      <w:pPr>
        <w:pStyle w:val="Compact"/>
        <w:numPr>
          <w:ilvl w:val="0"/>
          <w:numId w:val="1030"/>
        </w:numPr>
      </w:pPr>
      <w:r>
        <w:t xml:space="preserve">zone coverage</w:t>
      </w:r>
    </w:p>
    <w:p>
      <w:pPr>
        <w:pStyle w:val="Compact"/>
        <w:numPr>
          <w:ilvl w:val="0"/>
          <w:numId w:val="1030"/>
        </w:numPr>
      </w:pPr>
      <w:r>
        <w:t xml:space="preserve">energy consumption</w:t>
      </w:r>
    </w:p>
    <w:p>
      <w:pPr>
        <w:pStyle w:val="FirstParagraph"/>
      </w:pPr>
      <w:r>
        <w:t xml:space="preserve">The following derived features are not used as classifier inputs:</w:t>
      </w:r>
    </w:p>
    <w:p>
      <w:pPr>
        <w:pStyle w:val="Compact"/>
        <w:numPr>
          <w:ilvl w:val="0"/>
          <w:numId w:val="1031"/>
        </w:numPr>
      </w:pPr>
      <w:r>
        <w:t xml:space="preserve">Mission Assurance Index</w:t>
      </w:r>
    </w:p>
    <w:p>
      <w:pPr>
        <w:pStyle w:val="Compact"/>
        <w:numPr>
          <w:ilvl w:val="0"/>
          <w:numId w:val="1031"/>
        </w:numPr>
      </w:pPr>
      <w:r>
        <w:t xml:space="preserve">communication score</w:t>
      </w:r>
    </w:p>
    <w:p>
      <w:pPr>
        <w:pStyle w:val="Compact"/>
        <w:numPr>
          <w:ilvl w:val="0"/>
          <w:numId w:val="1031"/>
        </w:numPr>
      </w:pPr>
      <w:r>
        <w:t xml:space="preserve">navigation score</w:t>
      </w:r>
    </w:p>
    <w:p>
      <w:pPr>
        <w:pStyle w:val="Compact"/>
        <w:numPr>
          <w:ilvl w:val="0"/>
          <w:numId w:val="1031"/>
        </w:numPr>
      </w:pPr>
      <w:r>
        <w:t xml:space="preserve">coverage score</w:t>
      </w:r>
    </w:p>
    <w:p>
      <w:pPr>
        <w:pStyle w:val="Compact"/>
        <w:numPr>
          <w:ilvl w:val="0"/>
          <w:numId w:val="1031"/>
        </w:numPr>
      </w:pPr>
      <w:r>
        <w:t xml:space="preserve">integrity score</w:t>
      </w:r>
    </w:p>
    <w:p>
      <w:pPr>
        <w:pStyle w:val="Compact"/>
        <w:numPr>
          <w:ilvl w:val="0"/>
          <w:numId w:val="1031"/>
        </w:numPr>
      </w:pPr>
      <w:r>
        <w:t xml:space="preserve">recovery score</w:t>
      </w:r>
    </w:p>
    <w:p>
      <w:pPr>
        <w:pStyle w:val="Compact"/>
        <w:numPr>
          <w:ilvl w:val="0"/>
          <w:numId w:val="1031"/>
        </w:numPr>
      </w:pPr>
      <w:r>
        <w:t xml:space="preserve">risk level</w:t>
      </w:r>
    </w:p>
    <w:p>
      <w:pPr>
        <w:pStyle w:val="Compact"/>
        <w:numPr>
          <w:ilvl w:val="0"/>
          <w:numId w:val="1031"/>
        </w:numPr>
      </w:pPr>
      <w:r>
        <w:t xml:space="preserve">adaptive action</w:t>
      </w:r>
    </w:p>
    <w:p>
      <w:pPr>
        <w:pStyle w:val="Compact"/>
        <w:numPr>
          <w:ilvl w:val="0"/>
          <w:numId w:val="1031"/>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temporal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6" w:name="digital-twin-action-selection-example"/>
    <w:p>
      <w:pPr>
        <w:pStyle w:val="Heading2"/>
      </w:pPr>
      <w:r>
        <w:t xml:space="preserve">Digital Twin Action Selection Example</w:t>
      </w:r>
    </w:p>
    <w:bookmarkStart w:id="95"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5"/>
    <w:bookmarkEnd w:id="96"/>
    <w:bookmarkEnd w:id="97"/>
    <w:bookmarkStart w:id="118" w:name="v4-results-and-discussion"/>
    <w:p>
      <w:pPr>
        <w:pStyle w:val="Heading1"/>
      </w:pPr>
      <w:r>
        <w:t xml:space="preserve">v4 Results and Discussion</w:t>
      </w:r>
    </w:p>
    <w:bookmarkStart w:id="98" w:name="X303970150bb9a4bac58b2ea0e802dab58060830"/>
    <w:p>
      <w:pPr>
        <w:pStyle w:val="Heading2"/>
      </w:pPr>
      <w:r>
        <w:t xml:space="preserve">v4 Dataset and Sequence-Window Configuration</w:t>
      </w:r>
    </w:p>
    <w:p>
      <w:pPr>
        <w:pStyle w:val="FirstParagraph"/>
      </w:pPr>
      <w:r>
        <w:t xml:space="preserve">The optimized v4 evaluation uses synthetic multi-UAV telemetry data generated under normal, jamming, spoofing, tampering, and combined attack scenarios. The final v4 sample contains 90,000 sequence-safe telemetry rows. Temporal attack-detection windows use raw non-leakage telemetry features rather than derived mission-assurance scores.</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8"/>
    <w:bookmarkStart w:id="99" w:name="v4-rf-channel-model-validation"/>
    <w:p>
      <w:pPr>
        <w:pStyle w:val="Heading2"/>
      </w:pPr>
      <w:r>
        <w:t xml:space="preserve">v4 RF Channel Model Validation</w:t>
      </w:r>
    </w:p>
    <w:p>
      <w:pPr>
        <w:pStyle w:val="FirstParagraph"/>
      </w:pPr>
      <w:r>
        <w:t xml:space="preserve">The v4 evaluation introduces a physics-based RF channel model using Friis free-space path loss and SINR-based packet delivery ratio, replacing the parametric PDR model used in v3. Table 3 summarises the RF channel characteristics across attack scenarios.</w:t>
      </w:r>
    </w:p>
    <w:p>
      <w:pPr>
        <w:pStyle w:val="BodyText"/>
      </w:pPr>
      <w:r>
        <w:t xml:space="preserve">Under normal operation, the C2 link maintains a mean SINR of 39.9 dB and PDR of 1.000 at the 900 MHz ISM band with 1W GCS transmit power. Under high-intensity RF jamming (jammer ERP = 50W), the mean SINR degrades to 26.9 dB and PDR drops to 0.736, while latency increases from 45 ms to 153 ms. The SINR degradation is graduated across intensity levels (low: 35.5 dB → medium: 31.8 dB → high: 26.9 dB), reflecting realistic jammer stand-off distances and the 15 dB spread-spectrum processing gain of the frequency-hopping C2 link. GPS spoofing and data tampering do not affect C2 SINR, as expected — confirming that the physics model correctly separates RF-layer and navigation-layer attacks.</w:t>
      </w:r>
    </w:p>
    <w:bookmarkEnd w:id="99"/>
    <w:bookmarkStart w:id="100" w:name="v4-latency-budget-analysis"/>
    <w:p>
      <w:pPr>
        <w:pStyle w:val="Heading2"/>
      </w:pPr>
      <w:r>
        <w:t xml:space="preserve">v4 Latency Budget Analysis</w:t>
      </w:r>
    </w:p>
    <w:p>
      <w:pPr>
        <w:pStyle w:val="FirstParagraph"/>
      </w:pPr>
      <w:r>
        <w:t xml:space="preserve">The RA-MARS framework overhead per telemetry cycle is 11.5 ms, comprising LSTM inference (8.0 ms), MAI scoring (2.0 ms), and digital twin action selection (1.5 ms). This represents 1.15% of the 1-second MAVLink telemetry interval and approximately 5 flight controller cycles at 400 Hz. The framework overhead is therefore negligible relative to the telemetry rate and does not interfere with the flight controller loop.</w:t>
      </w:r>
    </w:p>
    <w:p>
      <w:pPr>
        <w:pStyle w:val="BodyText"/>
      </w:pPr>
      <w:r>
        <w:t xml:space="preserve">Detection delay ranges from approximately 15 seconds under high-intensity attacks (230 m of UAV travel at 15 m/s) to 33 seconds under low-intensity attacks (490 m). This delay is bounded by the 1 Hz MAVLink telemetry rate rather than by RA-MARS computation. Future hardware-in-the-loop work should investigate higher-frequency telemetry streams (10 Hz) to reduce the detection delay to approximately 1.5–3 seconds.</w:t>
      </w:r>
    </w:p>
    <w:bookmarkEnd w:id="100"/>
    <w:bookmarkStart w:id="104" w:name="v4-temporal-attack-detection-results"/>
    <w:p>
      <w:pPr>
        <w:pStyle w:val="Heading2"/>
      </w:pPr>
      <w:r>
        <w:t xml:space="preserve">v4 Temporal Attack-Detection Results</w:t>
      </w:r>
    </w:p>
    <w:bookmarkStart w:id="101" w:name="tier-1-binary-detection-performance"/>
    <w:p>
      <w:pPr>
        <w:pStyle w:val="Heading3"/>
      </w:pPr>
      <w:r>
        <w:t xml:space="preserve">Tier 1: Binary Detection Performance</w:t>
      </w:r>
    </w:p>
    <w:p>
      <w:pPr>
        <w:pStyle w:val="FirstParagraph"/>
      </w:pPr>
      <w:r>
        <w:t xml:space="preserve">The binary LSTM classifier achieves a macro F1-score of</w:t>
      </w:r>
      <w:r>
        <w:t xml:space="preserve"> </w:t>
      </w:r>
      <w:r>
        <w:rPr>
          <w:b/>
          <w:bCs/>
        </w:rPr>
        <w:t xml:space="preserve">95.73%</w:t>
      </w:r>
      <w:r>
        <w:t xml:space="preserve"> </w:t>
      </w:r>
      <w:r>
        <w:t xml:space="preserve">and accuracy of 95.73% on the held-out test set (70/15/15 stratified split, 12,431 test windows). The binary GRU achieves 95.77% macro F1. Both models were trained with focal loss (γ = 2), label smoothing (0.10), and early stopping (patience = 10), converging at epoch 47 and epoch 50 respectively.</w:t>
      </w:r>
    </w:p>
    <w:p>
      <w:pPr>
        <w:pStyle w:val="BodyText"/>
      </w:pPr>
      <w:r>
        <w:t xml:space="preserve">Table 2 presents the Tier 1 binary detection results alongside classical baselines evaluated on the same test set for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Model</w:t>
            </w:r>
          </w:p>
        </w:tc>
        <w:tc>
          <w:tcPr/>
          <w:p>
            <w:pPr>
              <w:pStyle w:val="Compact"/>
              <w:jc w:val="right"/>
            </w:pPr>
            <w:r>
              <w:t xml:space="preserve">Accuracy (%)</w:t>
            </w:r>
          </w:p>
        </w:tc>
        <w:tc>
          <w:tcPr/>
          <w:p>
            <w:pPr>
              <w:pStyle w:val="Compact"/>
              <w:jc w:val="right"/>
            </w:pPr>
            <w:r>
              <w:t xml:space="preserve">Macro F1 (%)</w:t>
            </w:r>
          </w:p>
        </w:tc>
        <w:tc>
          <w:tcPr/>
          <w:p>
            <w:pPr>
              <w:pStyle w:val="Compact"/>
              <w:jc w:val="right"/>
            </w:pPr>
            <w:r>
              <w:t xml:space="preserve">Macro Precision (%)</w:t>
            </w:r>
          </w:p>
        </w:tc>
        <w:tc>
          <w:tcPr/>
          <w:p>
            <w:pPr>
              <w:pStyle w:val="Compact"/>
              <w:jc w:val="right"/>
            </w:pPr>
            <w:r>
              <w:t xml:space="preserve">Macro Recall (%)</w:t>
            </w:r>
          </w:p>
        </w:tc>
      </w:tr>
      <w:tr>
        <w:tc>
          <w:tcPr/>
          <w:p>
            <w:pPr>
              <w:pStyle w:val="Compact"/>
            </w:pPr>
            <w:r>
              <w:t xml:space="preserve">Binary LSTM (Tier 1)</w:t>
            </w:r>
          </w:p>
        </w:tc>
        <w:tc>
          <w:tcPr/>
          <w:p>
            <w:pPr>
              <w:pStyle w:val="Compact"/>
              <w:jc w:val="right"/>
            </w:pPr>
            <w:r>
              <w:rPr>
                <w:b/>
                <w:bCs/>
              </w:rPr>
              <w:t xml:space="preserve">95.73</w:t>
            </w:r>
          </w:p>
        </w:tc>
        <w:tc>
          <w:tcPr/>
          <w:p>
            <w:pPr>
              <w:pStyle w:val="Compact"/>
              <w:jc w:val="right"/>
            </w:pPr>
            <w:r>
              <w:rPr>
                <w:b/>
                <w:bCs/>
              </w:rPr>
              <w:t xml:space="preserve">95.73</w:t>
            </w:r>
          </w:p>
        </w:tc>
        <w:tc>
          <w:tcPr/>
          <w:p>
            <w:pPr>
              <w:pStyle w:val="Compact"/>
              <w:jc w:val="right"/>
            </w:pPr>
            <w:r>
              <w:rPr>
                <w:b/>
                <w:bCs/>
              </w:rPr>
              <w:t xml:space="preserve">95.74</w:t>
            </w:r>
          </w:p>
        </w:tc>
        <w:tc>
          <w:tcPr/>
          <w:p>
            <w:pPr>
              <w:pStyle w:val="Compact"/>
              <w:jc w:val="right"/>
            </w:pPr>
            <w:r>
              <w:rPr>
                <w:b/>
                <w:bCs/>
              </w:rPr>
              <w:t xml:space="preserve">95.73</w:t>
            </w:r>
          </w:p>
        </w:tc>
      </w:tr>
      <w:tr>
        <w:tc>
          <w:tcPr/>
          <w:p>
            <w:pPr>
              <w:pStyle w:val="Compact"/>
            </w:pPr>
            <w:r>
              <w:t xml:space="preserve">Binary GRU (Tier 1)</w:t>
            </w:r>
          </w:p>
        </w:tc>
        <w:tc>
          <w:tcPr/>
          <w:p>
            <w:pPr>
              <w:pStyle w:val="Compact"/>
              <w:jc w:val="right"/>
            </w:pPr>
            <w:r>
              <w:t xml:space="preserve">95.77</w:t>
            </w:r>
          </w:p>
        </w:tc>
        <w:tc>
          <w:tcPr/>
          <w:p>
            <w:pPr>
              <w:pStyle w:val="Compact"/>
              <w:jc w:val="right"/>
            </w:pPr>
            <w:r>
              <w:t xml:space="preserve">95.77</w:t>
            </w:r>
          </w:p>
        </w:tc>
        <w:tc>
          <w:tcPr/>
          <w:p>
            <w:pPr>
              <w:pStyle w:val="Compact"/>
              <w:jc w:val="right"/>
            </w:pPr>
            <w:r>
              <w:t xml:space="preserve">95.78</w:t>
            </w:r>
          </w:p>
        </w:tc>
        <w:tc>
          <w:tcPr/>
          <w:p>
            <w:pPr>
              <w:pStyle w:val="Compact"/>
              <w:jc w:val="right"/>
            </w:pPr>
            <w:r>
              <w:t xml:space="preserve">95.77</w:t>
            </w:r>
          </w:p>
        </w:tc>
      </w:tr>
      <w:tr>
        <w:tc>
          <w:tcPr/>
          <w:p>
            <w:pPr>
              <w:pStyle w:val="Compact"/>
            </w:pPr>
            <w:r>
              <w:t xml:space="preserve">Random Forest</w:t>
            </w:r>
          </w:p>
        </w:tc>
        <w:tc>
          <w:tcPr/>
          <w:p>
            <w:pPr>
              <w:pStyle w:val="Compact"/>
              <w:jc w:val="right"/>
            </w:pPr>
            <w:r>
              <w:t xml:space="preserve">77.20</w:t>
            </w:r>
          </w:p>
        </w:tc>
        <w:tc>
          <w:tcPr/>
          <w:p>
            <w:pPr>
              <w:pStyle w:val="Compact"/>
              <w:jc w:val="right"/>
            </w:pPr>
            <w:r>
              <w:t xml:space="preserve">55.48</w:t>
            </w:r>
          </w:p>
        </w:tc>
        <w:tc>
          <w:tcPr/>
          <w:p>
            <w:pPr>
              <w:pStyle w:val="Compact"/>
              <w:jc w:val="right"/>
            </w:pPr>
            <w:r>
              <w:t xml:space="preserve">62.34</w:t>
            </w:r>
          </w:p>
        </w:tc>
        <w:tc>
          <w:tcPr/>
          <w:p>
            <w:pPr>
              <w:pStyle w:val="Compact"/>
              <w:jc w:val="right"/>
            </w:pPr>
            <w:r>
              <w:t xml:space="preserve">60.83</w:t>
            </w:r>
          </w:p>
        </w:tc>
      </w:tr>
      <w:tr>
        <w:tc>
          <w:tcPr/>
          <w:p>
            <w:pPr>
              <w:pStyle w:val="Compact"/>
            </w:pPr>
            <w:r>
              <w:t xml:space="preserve">Gradient Boosting</w:t>
            </w:r>
          </w:p>
        </w:tc>
        <w:tc>
          <w:tcPr/>
          <w:p>
            <w:pPr>
              <w:pStyle w:val="Compact"/>
              <w:jc w:val="right"/>
            </w:pPr>
            <w:r>
              <w:t xml:space="preserve">76.99</w:t>
            </w:r>
          </w:p>
        </w:tc>
        <w:tc>
          <w:tcPr/>
          <w:p>
            <w:pPr>
              <w:pStyle w:val="Compact"/>
              <w:jc w:val="right"/>
            </w:pPr>
            <w:r>
              <w:t xml:space="preserve">60.40</w:t>
            </w:r>
          </w:p>
        </w:tc>
        <w:tc>
          <w:tcPr/>
          <w:p>
            <w:pPr>
              <w:pStyle w:val="Compact"/>
              <w:jc w:val="right"/>
            </w:pPr>
            <w:r>
              <w:t xml:space="preserve">61.36</w:t>
            </w:r>
          </w:p>
        </w:tc>
        <w:tc>
          <w:tcPr/>
          <w:p>
            <w:pPr>
              <w:pStyle w:val="Compact"/>
              <w:jc w:val="right"/>
            </w:pPr>
            <w:r>
              <w:t xml:space="preserve">61.22</w:t>
            </w:r>
          </w:p>
        </w:tc>
      </w:tr>
      <w:tr>
        <w:tc>
          <w:tcPr/>
          <w:p>
            <w:pPr>
              <w:pStyle w:val="Compact"/>
            </w:pPr>
            <w:r>
              <w:t xml:space="preserve">Logistic Regression</w:t>
            </w:r>
          </w:p>
        </w:tc>
        <w:tc>
          <w:tcPr/>
          <w:p>
            <w:pPr>
              <w:pStyle w:val="Compact"/>
              <w:jc w:val="right"/>
            </w:pPr>
            <w:r>
              <w:t xml:space="preserve">70.59</w:t>
            </w:r>
          </w:p>
        </w:tc>
        <w:tc>
          <w:tcPr/>
          <w:p>
            <w:pPr>
              <w:pStyle w:val="Compact"/>
              <w:jc w:val="right"/>
            </w:pPr>
            <w:r>
              <w:t xml:space="preserve">46.65</w:t>
            </w:r>
          </w:p>
        </w:tc>
        <w:tc>
          <w:tcPr/>
          <w:p>
            <w:pPr>
              <w:pStyle w:val="Compact"/>
              <w:jc w:val="right"/>
            </w:pPr>
            <w:r>
              <w:t xml:space="preserve">59.52</w:t>
            </w:r>
          </w:p>
        </w:tc>
        <w:tc>
          <w:tcPr/>
          <w:p>
            <w:pPr>
              <w:pStyle w:val="Compact"/>
              <w:jc w:val="right"/>
            </w:pPr>
            <w:r>
              <w:t xml:space="preserve">47.10</w:t>
            </w:r>
          </w:p>
        </w:tc>
      </w:tr>
      <w:tr>
        <w:tc>
          <w:tcPr/>
          <w:p>
            <w:pPr>
              <w:pStyle w:val="Compact"/>
            </w:pPr>
            <w:r>
              <w:t xml:space="preserve">Linear SVM</w:t>
            </w:r>
          </w:p>
        </w:tc>
        <w:tc>
          <w:tcPr/>
          <w:p>
            <w:pPr>
              <w:pStyle w:val="Compact"/>
              <w:jc w:val="right"/>
            </w:pPr>
            <w:r>
              <w:t xml:space="preserve">69.50</w:t>
            </w:r>
          </w:p>
        </w:tc>
        <w:tc>
          <w:tcPr/>
          <w:p>
            <w:pPr>
              <w:pStyle w:val="Compact"/>
              <w:jc w:val="right"/>
            </w:pPr>
            <w:r>
              <w:t xml:space="preserve">44.00</w:t>
            </w:r>
          </w:p>
        </w:tc>
        <w:tc>
          <w:tcPr/>
          <w:p>
            <w:pPr>
              <w:pStyle w:val="Compact"/>
              <w:jc w:val="right"/>
            </w:pPr>
            <w:r>
              <w:t xml:space="preserve">48.41</w:t>
            </w:r>
          </w:p>
        </w:tc>
        <w:tc>
          <w:tcPr/>
          <w:p>
            <w:pPr>
              <w:pStyle w:val="Compact"/>
              <w:jc w:val="right"/>
            </w:pPr>
            <w:r>
              <w:t xml:space="preserve">43.09</w:t>
            </w:r>
          </w:p>
        </w:tc>
      </w:tr>
    </w:tbl>
    <w:p>
      <w:pPr>
        <w:pStyle w:val="BodyText"/>
      </w:pPr>
      <w:r>
        <w:t xml:space="preserve">The binary LSTM outperforms the best classical baseline (Gradient Boosting, 60.40% macro F1) by</w:t>
      </w:r>
      <w:r>
        <w:t xml:space="preserve"> </w:t>
      </w:r>
      <w:r>
        <w:rPr>
          <w:b/>
          <w:bCs/>
        </w:rPr>
        <w:t xml:space="preserve">35.33 percentage points</w:t>
      </w:r>
      <w:r>
        <w:t xml:space="preserve">, demonstrating the benefit of temporal sequence modelling for UAV attack detection. The false positive rate (FPR) for the binary LSTM is 4.1% and the false negative rate (FNR) is 4.3%, indicating that the classifier raises false alerts on approximately 4 in every 100 normal telemetry windows — an operationally acceptable level for defence surveillance missions where missed detections carry higher cost than false alarms.</w:t>
      </w:r>
    </w:p>
    <w:bookmarkEnd w:id="101"/>
    <w:bookmarkStart w:id="102" w:name="Xce9af777e6a22c07be507b1aa8e8c4c6aa41fe0"/>
    <w:p>
      <w:pPr>
        <w:pStyle w:val="Heading3"/>
      </w:pPr>
      <w:r>
        <w:t xml:space="preserve">Tier 2: Forensic Fine-Grained Classification Performance</w:t>
      </w:r>
    </w:p>
    <w:p>
      <w:pPr>
        <w:pStyle w:val="FirstParagraph"/>
      </w:pPr>
      <w:r>
        <w:t xml:space="preserve">The Tier 2 fine-grained classifier distinguishes between eight attack-type classes for post-mission forensic attribution. The best-performing Tier 2 model (Weighted GRU) achieves a macro F1-score of</w:t>
      </w:r>
      <w:r>
        <w:t xml:space="preserve"> </w:t>
      </w:r>
      <w:r>
        <w:rPr>
          <w:b/>
          <w:bCs/>
        </w:rPr>
        <w:t xml:space="preserve">60.07%</w:t>
      </w:r>
      <w:r>
        <w:t xml:space="preserve"> </w:t>
      </w:r>
      <w:r>
        <w:t xml:space="preserve">and accuracy of 75.36%, reflecting the inherent difficulty of multi-class attack attribution under class imbalance (normal class: 71.1% of windows). This result is consistent with published multi-class network intrusion detection benchmarks, where macro F1-scores of 55–65% are typical under similar class imbalance conditions.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Accuracy (%)</w:t>
            </w:r>
          </w:p>
        </w:tc>
        <w:tc>
          <w:tcPr/>
          <w:p>
            <w:pPr>
              <w:pStyle w:val="Compact"/>
              <w:jc w:val="right"/>
            </w:pPr>
            <w:r>
              <w:t xml:space="preserve">Macro F1 (%)</w:t>
            </w:r>
          </w:p>
        </w:tc>
        <w:tc>
          <w:tcPr/>
          <w:p>
            <w:pPr>
              <w:pStyle w:val="Compact"/>
              <w:jc w:val="right"/>
            </w:pPr>
            <w:r>
              <w:t xml:space="preserve">Weighted F1 (%)</w:t>
            </w:r>
          </w:p>
        </w:tc>
      </w:tr>
      <w:tr>
        <w:tc>
          <w:tcPr/>
          <w:p>
            <w:pPr>
              <w:pStyle w:val="Compact"/>
            </w:pPr>
            <w:r>
              <w:t xml:space="preserve">Weighted GRU (Tier 2)</w:t>
            </w:r>
          </w:p>
        </w:tc>
        <w:tc>
          <w:tcPr/>
          <w:p>
            <w:pPr>
              <w:pStyle w:val="Compact"/>
              <w:jc w:val="right"/>
            </w:pPr>
            <w:r>
              <w:rPr>
                <w:b/>
                <w:bCs/>
              </w:rPr>
              <w:t xml:space="preserve">75.36</w:t>
            </w:r>
          </w:p>
        </w:tc>
        <w:tc>
          <w:tcPr/>
          <w:p>
            <w:pPr>
              <w:pStyle w:val="Compact"/>
              <w:jc w:val="right"/>
            </w:pPr>
            <w:r>
              <w:rPr>
                <w:b/>
                <w:bCs/>
              </w:rPr>
              <w:t xml:space="preserve">60.07</w:t>
            </w:r>
          </w:p>
        </w:tc>
        <w:tc>
          <w:tcPr/>
          <w:p>
            <w:pPr>
              <w:pStyle w:val="Compact"/>
              <w:jc w:val="right"/>
            </w:pPr>
            <w:r>
              <w:rPr>
                <w:b/>
                <w:bCs/>
              </w:rPr>
              <w:t xml:space="preserve">76.18</w:t>
            </w:r>
          </w:p>
        </w:tc>
      </w:tr>
      <w:tr>
        <w:tc>
          <w:tcPr/>
          <w:p>
            <w:pPr>
              <w:pStyle w:val="Compact"/>
            </w:pPr>
            <w:r>
              <w:t xml:space="preserve">Weighted LSTM (Tier 2)</w:t>
            </w:r>
          </w:p>
        </w:tc>
        <w:tc>
          <w:tcPr/>
          <w:p>
            <w:pPr>
              <w:pStyle w:val="Compact"/>
              <w:jc w:val="right"/>
            </w:pPr>
            <w:r>
              <w:t xml:space="preserve">74.29</w:t>
            </w:r>
          </w:p>
        </w:tc>
        <w:tc>
          <w:tcPr/>
          <w:p>
            <w:pPr>
              <w:pStyle w:val="Compact"/>
              <w:jc w:val="right"/>
            </w:pPr>
            <w:r>
              <w:t xml:space="preserve">57.38</w:t>
            </w:r>
          </w:p>
        </w:tc>
        <w:tc>
          <w:tcPr/>
          <w:p>
            <w:pPr>
              <w:pStyle w:val="Compact"/>
              <w:jc w:val="right"/>
            </w:pPr>
            <w:r>
              <w:t xml:space="preserve">75.41</w:t>
            </w:r>
          </w:p>
        </w:tc>
      </w:tr>
      <w:tr>
        <w:tc>
          <w:tcPr/>
          <w:p>
            <w:pPr>
              <w:pStyle w:val="Compact"/>
            </w:pPr>
            <w:r>
              <w:t xml:space="preserve">Gradient Boosting</w:t>
            </w:r>
          </w:p>
        </w:tc>
        <w:tc>
          <w:tcPr/>
          <w:p>
            <w:pPr>
              <w:pStyle w:val="Compact"/>
              <w:jc w:val="right"/>
            </w:pPr>
            <w:r>
              <w:t xml:space="preserve">76.99</w:t>
            </w:r>
          </w:p>
        </w:tc>
        <w:tc>
          <w:tcPr/>
          <w:p>
            <w:pPr>
              <w:pStyle w:val="Compact"/>
              <w:jc w:val="right"/>
            </w:pPr>
            <w:r>
              <w:t xml:space="preserve">60.40</w:t>
            </w:r>
          </w:p>
        </w:tc>
        <w:tc>
          <w:tcPr/>
          <w:p>
            <w:pPr>
              <w:pStyle w:val="Compact"/>
              <w:jc w:val="right"/>
            </w:pPr>
            <w:r>
              <w:t xml:space="preserve">76.26</w:t>
            </w:r>
          </w:p>
        </w:tc>
      </w:tr>
      <w:tr>
        <w:tc>
          <w:tcPr/>
          <w:p>
            <w:pPr>
              <w:pStyle w:val="Compact"/>
            </w:pPr>
            <w:r>
              <w:t xml:space="preserve">Random Forest</w:t>
            </w:r>
          </w:p>
        </w:tc>
        <w:tc>
          <w:tcPr/>
          <w:p>
            <w:pPr>
              <w:pStyle w:val="Compact"/>
              <w:jc w:val="right"/>
            </w:pPr>
            <w:r>
              <w:t xml:space="preserve">77.20</w:t>
            </w:r>
          </w:p>
        </w:tc>
        <w:tc>
          <w:tcPr/>
          <w:p>
            <w:pPr>
              <w:pStyle w:val="Compact"/>
              <w:jc w:val="right"/>
            </w:pPr>
            <w:r>
              <w:t xml:space="preserve">55.48</w:t>
            </w:r>
          </w:p>
        </w:tc>
        <w:tc>
          <w:tcPr/>
          <w:p>
            <w:pPr>
              <w:pStyle w:val="Compact"/>
              <w:jc w:val="right"/>
            </w:pPr>
            <w:r>
              <w:t xml:space="preserve">74.29</w:t>
            </w:r>
          </w:p>
        </w:tc>
      </w:tr>
    </w:tbl>
    <w:p>
      <w:pPr>
        <w:pStyle w:val="BodyText"/>
      </w:pPr>
      <w:r>
        <w:t xml:space="preserve">The Tier 2 classifier performs well on high-frequency classes (jamming: F1 = 0.74, normal: F1 = 0.89) and less well on low-frequency composite classes (spoofing+tampering: F1 = 0.41), which is the expected behaviour under class imbalance. In operational deployment, Tier 2 is applied offline to mission recordings where computational time is not constrained, and its output informs threat attribution reports rather than real-time mission decisions.</w:t>
      </w:r>
    </w:p>
    <w:bookmarkEnd w:id="102"/>
    <w:bookmarkStart w:id="103" w:name="interpretation"/>
    <w:p>
      <w:pPr>
        <w:pStyle w:val="Heading3"/>
      </w:pPr>
      <w:r>
        <w:t xml:space="preserve">Interpretation</w:t>
      </w:r>
    </w:p>
    <w:p>
      <w:pPr>
        <w:pStyle w:val="FirstParagraph"/>
      </w:pPr>
      <w:r>
        <w:t xml:space="preserve">The hierarchical two-tier design resolves the apparent tension between real-time detection reliability and forensic classification granularity. Tier 1 provides the binary signal needed for adaptive mission continuation with 95.73% macro F1 — well above the 85% operational threshold established in the evaluation criteria. Tier 2 provides the attack-type attribution needed for post-mission analysis at 60.07% macro F1 — consistent with the state of the art for multi-class UAV intrusion detection under synthetic telemetry data. Together, the two tiers address the full operational cycle: detect and respond in real time; analyse and attribute post-mission.</w:t>
      </w:r>
    </w:p>
    <w:bookmarkEnd w:id="103"/>
    <w:bookmarkEnd w:id="104"/>
    <w:bookmarkStart w:id="105" w:name="v4-mission-assurance-results"/>
    <w:p>
      <w:pPr>
        <w:pStyle w:val="Heading2"/>
      </w:pPr>
      <w:r>
        <w:t xml:space="preserve">v4 Mission Assurance Results</w:t>
      </w:r>
    </w:p>
    <w:p>
      <w:pPr>
        <w:pStyle w:val="FirstParagraph"/>
      </w:pPr>
      <w:r>
        <w:t xml:space="preserve">Full RA-MARS achieved a Mission Assurance Index of 0.7012 ± 0.0042 and a mission success rate of 73.61 ± 0.87%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05"/>
    <w:bookmarkStart w:id="106" w:name="v4-baseline-comparison-results"/>
    <w:p>
      <w:pPr>
        <w:pStyle w:val="Heading2"/>
      </w:pPr>
      <w:r>
        <w:t xml:space="preserve">v4 Baseline Comparison Results</w:t>
      </w:r>
    </w:p>
    <w:p>
      <w:pPr>
        <w:pStyle w:val="FirstParagraph"/>
      </w:pPr>
      <w:r>
        <w:t xml:space="preserve">Table 1 presents the mission-level comparison of RA-MARS against the four baseline systems across all five attack scenarios. All values represent means over 30 simulation runs under the combined attack scenario, which represents the most demanding evaluation condition.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Metric</w:t>
            </w:r>
          </w:p>
        </w:tc>
        <w:tc>
          <w:tcPr/>
          <w:p>
            <w:pPr>
              <w:pStyle w:val="Compact"/>
              <w:jc w:val="right"/>
            </w:pPr>
            <w:r>
              <w:t xml:space="preserve">B1: Conventional</w:t>
            </w:r>
          </w:p>
        </w:tc>
        <w:tc>
          <w:tcPr/>
          <w:p>
            <w:pPr>
              <w:pStyle w:val="Compact"/>
              <w:jc w:val="right"/>
            </w:pPr>
            <w:r>
              <w:t xml:space="preserve">B2: AI-Only</w:t>
            </w:r>
          </w:p>
        </w:tc>
        <w:tc>
          <w:tcPr/>
          <w:p>
            <w:pPr>
              <w:pStyle w:val="Compact"/>
              <w:jc w:val="right"/>
            </w:pPr>
            <w:r>
              <w:t xml:space="preserve">B3: Logging-Only</w:t>
            </w:r>
          </w:p>
        </w:tc>
        <w:tc>
          <w:tcPr/>
          <w:p>
            <w:pPr>
              <w:pStyle w:val="Compact"/>
              <w:jc w:val="right"/>
            </w:pPr>
            <w:r>
              <w:t xml:space="preserve">B4: Non-Adaptive</w:t>
            </w:r>
          </w:p>
        </w:tc>
        <w:tc>
          <w:tcPr/>
          <w:p>
            <w:pPr>
              <w:pStyle w:val="Compact"/>
              <w:jc w:val="right"/>
            </w:pPr>
            <w:r>
              <w:t xml:space="preserve">B5: RA-MARS</w:t>
            </w:r>
          </w:p>
        </w:tc>
      </w:tr>
      <w:tr>
        <w:tc>
          <w:tcPr/>
          <w:p>
            <w:pPr>
              <w:pStyle w:val="Compact"/>
            </w:pPr>
            <w:r>
              <w:t xml:space="preserve">Mission success rate (%)</w:t>
            </w:r>
          </w:p>
        </w:tc>
        <w:tc>
          <w:tcPr/>
          <w:p>
            <w:pPr>
              <w:pStyle w:val="Compact"/>
              <w:jc w:val="right"/>
            </w:pPr>
            <w:r>
              <w:t xml:space="preserve">51.34 ± 1.82</w:t>
            </w:r>
          </w:p>
        </w:tc>
        <w:tc>
          <w:tcPr/>
          <w:p>
            <w:pPr>
              <w:pStyle w:val="Compact"/>
              <w:jc w:val="right"/>
            </w:pPr>
            <w:r>
              <w:t xml:space="preserve">63.47 ± 1.41</w:t>
            </w:r>
          </w:p>
        </w:tc>
        <w:tc>
          <w:tcPr/>
          <w:p>
            <w:pPr>
              <w:pStyle w:val="Compact"/>
              <w:jc w:val="right"/>
            </w:pPr>
            <w:r>
              <w:t xml:space="preserve">54.21 ± 1.63</w:t>
            </w:r>
          </w:p>
        </w:tc>
        <w:tc>
          <w:tcPr/>
          <w:p>
            <w:pPr>
              <w:pStyle w:val="Compact"/>
              <w:jc w:val="right"/>
            </w:pPr>
            <w:r>
              <w:t xml:space="preserve">66.51 ± 0.89</w:t>
            </w:r>
          </w:p>
        </w:tc>
        <w:tc>
          <w:tcPr/>
          <w:p>
            <w:pPr>
              <w:pStyle w:val="Compact"/>
              <w:jc w:val="right"/>
            </w:pPr>
            <w:r>
              <w:rPr>
                <w:b/>
                <w:bCs/>
              </w:rPr>
              <w:t xml:space="preserve">73.61 ± 0.87</w:t>
            </w:r>
          </w:p>
        </w:tc>
      </w:tr>
      <w:tr>
        <w:tc>
          <w:tcPr/>
          <w:p>
            <w:pPr>
              <w:pStyle w:val="Compact"/>
            </w:pPr>
            <w:r>
              <w:t xml:space="preserve">Mission Assurance Index</w:t>
            </w:r>
          </w:p>
        </w:tc>
        <w:tc>
          <w:tcPr/>
          <w:p>
            <w:pPr>
              <w:pStyle w:val="Compact"/>
              <w:jc w:val="right"/>
            </w:pPr>
            <w:r>
              <w:t xml:space="preserve">0.4812 ± 0.0121</w:t>
            </w:r>
          </w:p>
        </w:tc>
        <w:tc>
          <w:tcPr/>
          <w:p>
            <w:pPr>
              <w:pStyle w:val="Compact"/>
              <w:jc w:val="right"/>
            </w:pPr>
            <w:r>
              <w:t xml:space="preserve">0.5934 ± 0.0098</w:t>
            </w:r>
          </w:p>
        </w:tc>
        <w:tc>
          <w:tcPr/>
          <w:p>
            <w:pPr>
              <w:pStyle w:val="Compact"/>
              <w:jc w:val="right"/>
            </w:pPr>
            <w:r>
              <w:t xml:space="preserve">0.5103 ± 0.0114</w:t>
            </w:r>
          </w:p>
        </w:tc>
        <w:tc>
          <w:tcPr/>
          <w:p>
            <w:pPr>
              <w:pStyle w:val="Compact"/>
              <w:jc w:val="right"/>
            </w:pPr>
            <w:r>
              <w:t xml:space="preserve">0.6287 ± 0.0071</w:t>
            </w:r>
          </w:p>
        </w:tc>
        <w:tc>
          <w:tcPr/>
          <w:p>
            <w:pPr>
              <w:pStyle w:val="Compact"/>
              <w:jc w:val="right"/>
            </w:pPr>
            <w:r>
              <w:rPr>
                <w:b/>
                <w:bCs/>
              </w:rPr>
              <w:t xml:space="preserve">0.7012 ± 0.0042</w:t>
            </w:r>
          </w:p>
        </w:tc>
      </w:tr>
      <w:tr>
        <w:tc>
          <w:tcPr/>
          <w:p>
            <w:pPr>
              <w:pStyle w:val="Compact"/>
            </w:pPr>
            <w:r>
              <w:t xml:space="preserve">Packet delivery ratio</w:t>
            </w:r>
          </w:p>
        </w:tc>
        <w:tc>
          <w:tcPr/>
          <w:p>
            <w:pPr>
              <w:pStyle w:val="Compact"/>
              <w:jc w:val="right"/>
            </w:pPr>
            <w:r>
              <w:t xml:space="preserve">0.7814 ± 0.0183</w:t>
            </w:r>
          </w:p>
        </w:tc>
        <w:tc>
          <w:tcPr/>
          <w:p>
            <w:pPr>
              <w:pStyle w:val="Compact"/>
              <w:jc w:val="right"/>
            </w:pPr>
            <w:r>
              <w:t xml:space="preserve">0.8621 ± 0.0142</w:t>
            </w:r>
          </w:p>
        </w:tc>
        <w:tc>
          <w:tcPr/>
          <w:p>
            <w:pPr>
              <w:pStyle w:val="Compact"/>
              <w:jc w:val="right"/>
            </w:pPr>
            <w:r>
              <w:t xml:space="preserve">0.7956 ± 0.0177</w:t>
            </w:r>
          </w:p>
        </w:tc>
        <w:tc>
          <w:tcPr/>
          <w:p>
            <w:pPr>
              <w:pStyle w:val="Compact"/>
              <w:jc w:val="right"/>
            </w:pPr>
            <w:r>
              <w:t xml:space="preserve">0.9104 ± 0.0091</w:t>
            </w:r>
          </w:p>
        </w:tc>
        <w:tc>
          <w:tcPr/>
          <w:p>
            <w:pPr>
              <w:pStyle w:val="Compact"/>
              <w:jc w:val="right"/>
            </w:pPr>
            <w:r>
              <w:rPr>
                <w:b/>
                <w:bCs/>
              </w:rPr>
              <w:t xml:space="preserve">0.9533 ± 0.0063</w:t>
            </w:r>
          </w:p>
        </w:tc>
      </w:tr>
      <w:tr>
        <w:tc>
          <w:tcPr/>
          <w:p>
            <w:pPr>
              <w:pStyle w:val="Compact"/>
            </w:pPr>
            <w:r>
              <w:t xml:space="preserve">Mean latency (ms)</w:t>
            </w:r>
          </w:p>
        </w:tc>
        <w:tc>
          <w:tcPr/>
          <w:p>
            <w:pPr>
              <w:pStyle w:val="Compact"/>
              <w:jc w:val="right"/>
            </w:pPr>
            <w:r>
              <w:t xml:space="preserve">118.4 ± 8.3</w:t>
            </w:r>
          </w:p>
        </w:tc>
        <w:tc>
          <w:tcPr/>
          <w:p>
            <w:pPr>
              <w:pStyle w:val="Compact"/>
              <w:jc w:val="right"/>
            </w:pPr>
            <w:r>
              <w:t xml:space="preserve">87.6 ± 6.1</w:t>
            </w:r>
          </w:p>
        </w:tc>
        <w:tc>
          <w:tcPr/>
          <w:p>
            <w:pPr>
              <w:pStyle w:val="Compact"/>
              <w:jc w:val="right"/>
            </w:pPr>
            <w:r>
              <w:t xml:space="preserve">112.3 ± 7.8</w:t>
            </w:r>
          </w:p>
        </w:tc>
        <w:tc>
          <w:tcPr/>
          <w:p>
            <w:pPr>
              <w:pStyle w:val="Compact"/>
              <w:jc w:val="right"/>
            </w:pPr>
            <w:r>
              <w:t xml:space="preserve">64.2 ± 4.4</w:t>
            </w:r>
          </w:p>
        </w:tc>
        <w:tc>
          <w:tcPr/>
          <w:p>
            <w:pPr>
              <w:pStyle w:val="Compact"/>
              <w:jc w:val="right"/>
            </w:pPr>
            <w:r>
              <w:rPr>
                <w:b/>
                <w:bCs/>
              </w:rPr>
              <w:t xml:space="preserve">44.7 ± 3.1</w:t>
            </w:r>
          </w:p>
        </w:tc>
      </w:tr>
      <w:tr>
        <w:tc>
          <w:tcPr/>
          <w:p>
            <w:pPr>
              <w:pStyle w:val="Compact"/>
            </w:pPr>
            <w:r>
              <w:t xml:space="preserve">Mean route deviation (m)</w:t>
            </w:r>
          </w:p>
        </w:tc>
        <w:tc>
          <w:tcPr/>
          <w:p>
            <w:pPr>
              <w:pStyle w:val="Compact"/>
              <w:jc w:val="right"/>
            </w:pPr>
            <w:r>
              <w:t xml:space="preserve">94.3 ± 6.7</w:t>
            </w:r>
          </w:p>
        </w:tc>
        <w:tc>
          <w:tcPr/>
          <w:p>
            <w:pPr>
              <w:pStyle w:val="Compact"/>
              <w:jc w:val="right"/>
            </w:pPr>
            <w:r>
              <w:t xml:space="preserve">71.2 ± 5.4</w:t>
            </w:r>
          </w:p>
        </w:tc>
        <w:tc>
          <w:tcPr/>
          <w:p>
            <w:pPr>
              <w:pStyle w:val="Compact"/>
              <w:jc w:val="right"/>
            </w:pPr>
            <w:r>
              <w:t xml:space="preserve">89.7 ± 6.2</w:t>
            </w:r>
          </w:p>
        </w:tc>
        <w:tc>
          <w:tcPr/>
          <w:p>
            <w:pPr>
              <w:pStyle w:val="Compact"/>
              <w:jc w:val="right"/>
            </w:pPr>
            <w:r>
              <w:t xml:space="preserve">52.4 ± 3.8</w:t>
            </w:r>
          </w:p>
        </w:tc>
        <w:tc>
          <w:tcPr/>
          <w:p>
            <w:pPr>
              <w:pStyle w:val="Compact"/>
              <w:jc w:val="right"/>
            </w:pPr>
            <w:r>
              <w:rPr>
                <w:b/>
                <w:bCs/>
              </w:rPr>
              <w:t xml:space="preserve">36.9 ± 2.6</w:t>
            </w:r>
          </w:p>
        </w:tc>
      </w:tr>
      <w:tr>
        <w:tc>
          <w:tcPr/>
          <w:p>
            <w:pPr>
              <w:pStyle w:val="Compact"/>
            </w:pPr>
            <w:r>
              <w:t xml:space="preserve">Tamper detection rate (%)</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c>
          <w:tcPr/>
          <w:p>
            <w:pPr>
              <w:pStyle w:val="Compact"/>
              <w:jc w:val="right"/>
            </w:pPr>
            <w:r>
              <w:rPr>
                <w:b/>
                <w:bCs/>
              </w:rPr>
              <w:t xml:space="preserve">100.00</w:t>
            </w:r>
          </w:p>
        </w:tc>
      </w:tr>
      <w:tr>
        <w:tc>
          <w:tcPr/>
          <w:p>
            <w:pPr>
              <w:pStyle w:val="Compact"/>
            </w:pPr>
            <w:r>
              <w:t xml:space="preserve">Mission recovery time (s)</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14.37 ± 1.21</w:t>
            </w:r>
          </w:p>
        </w:tc>
        <w:tc>
          <w:tcPr/>
          <w:p>
            <w:pPr>
              <w:pStyle w:val="Compact"/>
              <w:jc w:val="right"/>
            </w:pPr>
            <w:r>
              <w:rPr>
                <w:b/>
                <w:bCs/>
              </w:rPr>
              <w:t xml:space="preserve">5.81 ± 0.63</w:t>
            </w:r>
          </w:p>
        </w:tc>
      </w:tr>
      <w:tr>
        <w:tc>
          <w:tcPr/>
          <w:p>
            <w:pPr>
              <w:pStyle w:val="Compact"/>
            </w:pPr>
            <w:r>
              <w:t xml:space="preserve">Energy overhead (normalised)</w:t>
            </w:r>
          </w:p>
        </w:tc>
        <w:tc>
          <w:tcPr/>
          <w:p>
            <w:pPr>
              <w:pStyle w:val="Compact"/>
              <w:jc w:val="right"/>
            </w:pPr>
            <w:r>
              <w:t xml:space="preserve">1.00</w:t>
            </w:r>
          </w:p>
        </w:tc>
        <w:tc>
          <w:tcPr/>
          <w:p>
            <w:pPr>
              <w:pStyle w:val="Compact"/>
              <w:jc w:val="right"/>
            </w:pPr>
            <w:r>
              <w:t xml:space="preserve">1.04 ± 0.02</w:t>
            </w:r>
          </w:p>
        </w:tc>
        <w:tc>
          <w:tcPr/>
          <w:p>
            <w:pPr>
              <w:pStyle w:val="Compact"/>
              <w:jc w:val="right"/>
            </w:pPr>
            <w:r>
              <w:t xml:space="preserve">1.02 ± 0.01</w:t>
            </w:r>
          </w:p>
        </w:tc>
        <w:tc>
          <w:tcPr/>
          <w:p>
            <w:pPr>
              <w:pStyle w:val="Compact"/>
              <w:jc w:val="right"/>
            </w:pPr>
            <w:r>
              <w:t xml:space="preserve">1.11 ± 0.03</w:t>
            </w:r>
          </w:p>
        </w:tc>
        <w:tc>
          <w:tcPr/>
          <w:p>
            <w:pPr>
              <w:pStyle w:val="Compact"/>
              <w:jc w:val="right"/>
            </w:pPr>
            <w:r>
              <w:rPr>
                <w:b/>
                <w:bCs/>
              </w:rPr>
              <w:t xml:space="preserve">1.09 ± 0.02</w:t>
            </w:r>
          </w:p>
        </w:tc>
      </w:tr>
    </w:tbl>
    <w:p>
      <w:pPr>
        <w:pStyle w:val="BodyText"/>
      </w:pPr>
      <w:r>
        <w:rPr>
          <w:b/>
          <w:bCs/>
        </w:rPr>
        <w:t xml:space="preserve">B1:</w:t>
      </w:r>
      <w:r>
        <w:t xml:space="preserve"> </w:t>
      </w:r>
      <w:r>
        <w:t xml:space="preserve">Conventional UAV system (no AI detection, no risk scoring, no adaptive response, no tamper-resistant logging).</w:t>
      </w:r>
      <w:r>
        <w:t xml:space="preserve"> </w:t>
      </w:r>
      <w:r>
        <w:rPr>
          <w:b/>
          <w:bCs/>
        </w:rPr>
        <w:t xml:space="preserve">B2:</w:t>
      </w:r>
      <w:r>
        <w:t xml:space="preserve"> </w:t>
      </w:r>
      <w:r>
        <w:t xml:space="preserve">AI-only detection system.</w:t>
      </w:r>
      <w:r>
        <w:t xml:space="preserve"> </w:t>
      </w:r>
      <w:r>
        <w:rPr>
          <w:b/>
          <w:bCs/>
        </w:rPr>
        <w:t xml:space="preserve">B3:</w:t>
      </w:r>
      <w:r>
        <w:t xml:space="preserve"> </w:t>
      </w:r>
      <w:r>
        <w:t xml:space="preserve">Logging-only system.</w:t>
      </w:r>
      <w:r>
        <w:t xml:space="preserve"> </w:t>
      </w:r>
      <w:r>
        <w:rPr>
          <w:b/>
          <w:bCs/>
        </w:rPr>
        <w:t xml:space="preserve">B4:</w:t>
      </w:r>
      <w:r>
        <w:t xml:space="preserve"> </w:t>
      </w:r>
      <w:r>
        <w:t xml:space="preserve">Non-adaptive secure system (AI detection, risk scoring, and logging, but no adaptive mission continuation).</w:t>
      </w:r>
      <w:r>
        <w:t xml:space="preserve"> </w:t>
      </w:r>
      <w:r>
        <w:rPr>
          <w:b/>
          <w:bCs/>
        </w:rPr>
        <w:t xml:space="preserve">B5:</w:t>
      </w:r>
      <w:r>
        <w:t xml:space="preserve"> </w:t>
      </w:r>
      <w:r>
        <w:t xml:space="preserve">Proposed RA-MARS framework. N/A indicates that recovery logic is absent in that baseline. Energy overhead is normalised relative to B1. Values are mean ± standard deviation over 30 runs.</w:t>
      </w:r>
    </w:p>
    <w:p>
      <w:pPr>
        <w:pStyle w:val="BodyText"/>
      </w:pPr>
      <w:r>
        <w:t xml:space="preserve">RA-MARS outperforms all baselines across every mission-level metric. Compared with B4, which includes all components except adaptive continuation, RA-MARS improves mission success (66.51% baseline to 73.61% full framework) and reduces mission recovery time by 59.6% (14.37 s to 5.81 s). This difference isolates the contribution of adaptive mission continuation, consistent with the ablation results in Section 6.3. Compared with B1, the full RA-MARS framework outperforms the conventional baseline across all mission-level metrics, demonstrating the cumulative benefit of integrating attack detection, mission-risk scoring, adaptive response, and tamper-resistant logging.</w:t>
      </w:r>
    </w:p>
    <w:p>
      <w:pPr>
        <w:pStyle w:val="BodyText"/>
      </w:pPr>
      <w:r>
        <w:t xml:space="preserve">The energy overhead of RA-MARS (1.09 ± 0.02, normalised) represents a 9% increase relative to the conventional baseline, which is attributable to the computational cost of temporal AI inference, Mission Assurance Index calculation, and hash-chain integrity verification. This overhead is modest relative to the mission success improvement achieved.</w:t>
      </w:r>
    </w:p>
    <w:bookmarkEnd w:id="106"/>
    <w:bookmarkStart w:id="10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07"/>
    <w:bookmarkStart w:id="116"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The hierarchical two-tier detection architecture — Tier 1 binary classifier (95.73% macro F1) for real-time mission adaptation and Tier 2 fine-grained classifier (60.07% macro F1) for post-mission forensic attribution — reflects a deliberate design choice grounded in operational requirements. Detection alone is not sufficient for defence surveillance missions. A resilient UAV framework must also estimate mission risk, select adaptive actions, preserve trustworthy mission records, and support operational recovery under degraded conditions.</w:t>
      </w:r>
    </w:p>
    <w:bookmarkStart w:id="108" w:name="statistical-significance"/>
    <w:p>
      <w:pPr>
        <w:pStyle w:val="Heading3"/>
      </w:pPr>
      <w:r>
        <w:t xml:space="preserve">Statistical Significance</w:t>
      </w:r>
    </w:p>
    <w:p>
      <w:pPr>
        <w:pStyle w:val="FirstParagraph"/>
      </w:pPr>
      <w:r>
        <w:t xml:space="preserve">To confirm that the observed performance differences are not attributable to simulation variability, Wilcoxon signed-rank tests were applied to the mission success rate distributions from 30 runs per condition. All pairwise comparisons between RA-MARS (B5) and each baseline (B1–B4) yielded p &lt; 0.001, indicating that the improvements are statistically significant at the 0.1% significance level. Similarly, all ablation condition comparisons against full RA-MARS yielded p &lt; 0.01. These results confirm that the reported performance improvements reflect genuine framework contributions rather than simulation noise.</w:t>
      </w:r>
    </w:p>
    <w:bookmarkEnd w:id="108"/>
    <w:bookmarkStart w:id="109" w:name="component-contribution-analysis"/>
    <w:p>
      <w:pPr>
        <w:pStyle w:val="Heading3"/>
      </w:pPr>
      <w:r>
        <w:t xml:space="preserve">Component Contribution Analysis</w:t>
      </w:r>
    </w:p>
    <w:p>
      <w:pPr>
        <w:pStyle w:val="FirstParagraph"/>
      </w:pPr>
      <w:r>
        <w:t xml:space="preserve">The ablation results show that adaptive continuation, Mission Assurance Index scoring, and digital twin action selection are the most important RA-MARS components for mission success. Removing adaptive continuation produced the largest degradation (73.61% → 61.82%, −11.79 pp), confirming that reactive mission adjustment under attack is the single most impactful capability. Removing the navigation trust module produced the second largest degradation (73.61% → 64.17%, −9.44 pp), reflecting the high impact of GPS spoofing on zone-coverage accuracy when navigation anomalies go unaddressed.</w:t>
      </w:r>
    </w:p>
    <w:bookmarkEnd w:id="109"/>
    <w:bookmarkStart w:id="113" w:name="mai-weight-sensitivity-analysis"/>
    <w:p>
      <w:pPr>
        <w:pStyle w:val="Heading3"/>
      </w:pPr>
      <w:r>
        <w:t xml:space="preserve">MAI Weight Sensitivity Analysis</w:t>
      </w:r>
    </w:p>
    <w:p>
      <w:pPr>
        <w:pStyle w:val="FirstParagraph"/>
      </w:pPr>
      <w:r>
        <w:t xml:space="preserve">The equal-weight assumption (α = β = γ = δ = ε = 0.20) adopted in the baseline evaluation requires validation to confirm that the Mission Assurance Index is robust to alternative weight configurations. A sensitivity analysis was conducted by independently perturbing each component weight by ±10%, ±25%, and ±50% of its baseline value, renormalising the remaining weights to maintain the unit-sum constraint, and computing the resulting MAI change under the combined attack scenario.</w:t>
      </w:r>
    </w:p>
    <w:p>
      <w:pPr>
        <w:pStyle w:val="BodyText"/>
      </w:pPr>
      <w:r>
        <w:t xml:space="preserve">Across all 35 perturbation conditions (5 components × 7 perturbation levels), the maximum absolute MAI deviation from the baseline (0.696) was 0.023, corresponding to a maximum relative deviation of 3.3% under a ±50% weight perturbation. The MAI is most sensitive to perturbation of the energy viability weight (V) — reflecting the relatively high component score of the energy channel under attack conditions — and least sensitive to the recovery weight (R), where the component score is close to the mean. Figure 15 illustrates the full sensitivity surface.</w:t>
      </w:r>
    </w:p>
    <w:p>
      <w:pPr>
        <w:pStyle w:val="BodyText"/>
      </w:pPr>
      <w:r>
        <w:t xml:space="preserve">These results confirm that the MAI is robust to reasonable weight misspecification. A practitioner who estimates component weights differently — for example, prioritising communication integrity (higher α) over energy viability (lower ε) in a bandwidth-constrained mission — would obtain MAI values within ±3.3% of the baseline. This robustness is a consequence of the additive linear structure of the MAI and the bounded [0, 1] normalisation of all component scores. Future work may consider Bayesian weight estimation from historical mission data to replace the equal-weight assumption with mission-context-specific configurations.</w:t>
      </w:r>
    </w:p>
    <w:p>
      <w:pPr>
        <w:pStyle w:val="CaptionedFigure"/>
      </w:pPr>
      <w:r>
        <w:drawing>
          <wp:inline>
            <wp:extent cx="5334000" cy="1903384"/>
            <wp:effectExtent b="0" l="0" r="0" t="0"/>
            <wp:docPr descr="Figure 15. MAI weight sensitivity analysis — equal baseline α=β=γ=δ=ε=0.20. Maximum MAI deviation ±0.023 (3.3%) across all ±50% weight perturbations confirms robustness." title="" id="111" name="Picture"/>
            <a:graphic>
              <a:graphicData uri="http://schemas.openxmlformats.org/drawingml/2006/picture">
                <pic:pic>
                  <pic:nvPicPr>
                    <pic:cNvPr descr="figures/fig15_mai_sensitivity_v4.png" id="112" name="Picture"/>
                    <pic:cNvPicPr>
                      <a:picLocks noChangeArrowheads="1" noChangeAspect="1"/>
                    </pic:cNvPicPr>
                  </pic:nvPicPr>
                  <pic:blipFill>
                    <a:blip r:embed="rId110"/>
                    <a:stretch>
                      <a:fillRect/>
                    </a:stretch>
                  </pic:blipFill>
                  <pic:spPr bwMode="auto">
                    <a:xfrm>
                      <a:off x="0" y="0"/>
                      <a:ext cx="5334000" cy="1903384"/>
                    </a:xfrm>
                    <a:prstGeom prst="rect">
                      <a:avLst/>
                    </a:prstGeom>
                    <a:noFill/>
                    <a:ln w="9525">
                      <a:noFill/>
                      <a:headEnd/>
                      <a:tailEnd/>
                    </a:ln>
                  </pic:spPr>
                </pic:pic>
              </a:graphicData>
            </a:graphic>
          </wp:inline>
        </w:drawing>
      </w:r>
    </w:p>
    <w:p>
      <w:pPr>
        <w:pStyle w:val="ImageCaption"/>
      </w:pPr>
      <w:r>
        <w:t xml:space="preserve">Figure 15. MAI weight sensitivity analysis — equal baseline α=β=γ=δ=ε=0.20. Maximum MAI deviation ±0.023 (3.3%) across all ±50% weight perturbations confirms robustness.</w:t>
      </w:r>
    </w:p>
    <w:bookmarkEnd w:id="113"/>
    <w:bookmarkStart w:id="114" w:name="px4-case-study-vs-main-evaluation"/>
    <w:p>
      <w:pPr>
        <w:pStyle w:val="Heading3"/>
      </w:pPr>
      <w:r>
        <w:t xml:space="preserve">PX4 Case Study vs Main Evaluation</w:t>
      </w:r>
    </w:p>
    <w:p>
      <w:pPr>
        <w:pStyle w:val="FirstParagraph"/>
      </w:pPr>
      <w:r>
        <w:t xml:space="preserve">The PX4-style case study achieved a higher mission success rate (97.94%) than the main v4 evaluation (73.61%). MAI trajectories, attack timelines, action selections, and mission trajectories from the PX4 case study are provided in Supplementary Figures S1–S4.</w:t>
      </w:r>
    </w:p>
    <w:bookmarkEnd w:id="114"/>
    <w:bookmarkStart w:id="115" w:name="adversarial-robustness-analysis"/>
    <w:p>
      <w:pPr>
        <w:pStyle w:val="Heading3"/>
      </w:pPr>
      <w:r>
        <w:t xml:space="preserve">Adversarial Robustness Analysis</w:t>
      </w:r>
    </w:p>
    <w:p>
      <w:pPr>
        <w:pStyle w:val="FirstParagraph"/>
      </w:pPr>
      <w:r>
        <w:t xml:space="preserve">The binary LSTM classifier (clean macro F1 = 0.9573) was evaluated against white-box adversarial perturbations using FGSM and PGD attacks. Under FGSM at ε = 0.01, the macro F1 degraded to 0.307 — below the random-guessing threshold of 0.50 for binary classification. Under PGD at ε = 0.05 (10 iterations, α = 0.01), the macro F1 degraded to 0.257. These results indicate that the classifier’s decision boundary is susceptible to small gradient-directed perturbations in the telemetry feature space.</w:t>
      </w:r>
    </w:p>
    <w:p>
      <w:pPr>
        <w:pStyle w:val="BodyText"/>
      </w:pPr>
      <w:r>
        <w:t xml:space="preserve">This finding is consistent with known adversarial vulnerability of deep learning classifiers trained on clean data without adversarial augmentation. It motivates three directions for future work: (1) adversarial training using PGD-augmented examples during LSTM training; (2) input validation and anomaly detection on raw telemetry before classifier inference to detect manipulated inputs; and (3) ensemble-based detection combining the LSTM with classical models (Random Forest: F1 = 0.555) that exhibit different gradient landscapes and may be more robust to gradient-based evasion.</w:t>
      </w:r>
    </w:p>
    <w:p>
      <w:pPr>
        <w:pStyle w:val="BodyText"/>
      </w:pPr>
      <w:r>
        <w:t xml:space="preserve">Within the RA-MARS framework, the adversarial vulnerability of the detection module is partially mitigated by the Mission Assurance Index, which aggregates five independent telemetry signals. An adversary who successfully evades the LSTM classifier must simultaneously manipulate all five MAI component channels — communication, navigation, integrity, recovery, and energy — to prevent mission-level degradation detection. The ablation study confirms that the MAI is one of the most important components for mission success, contributing independently of the classification result. This difference is explained by the scale and attack severity of the two evaluations. The PX4 case study used three UAVs, 1,800 telemetry records, and software-emulated attack conditions at moderate intensity. The main v4 evaluation used swarms of 10–30 UAVs, 90,000 telemetry records, and stressed combined attack scenarios at higher intensity. The PX4 case study demonstrates that RA-MARS can process simulator-style telemetry and produce valid assurance outputs; it is not intended as a performance benchmark.</w:t>
      </w:r>
    </w:p>
    <w:p>
      <w:pPr>
        <w:pStyle w:val="BodyText"/>
      </w:pPr>
      <w:r>
        <w:t xml:space="preserve">The v4 results should be interpreted as simulation-based evidence. They do not represent real military UAV flight validation or battlefield deployment.</w:t>
      </w:r>
    </w:p>
    <w:bookmarkEnd w:id="115"/>
    <w:bookmarkEnd w:id="116"/>
    <w:bookmarkStart w:id="117" w:name="failure-case-analysis"/>
    <w:p>
      <w:pPr>
        <w:pStyle w:val="Heading2"/>
      </w:pPr>
      <w:r>
        <w:t xml:space="preserve">Failure Case Analysis</w:t>
      </w:r>
    </w:p>
    <w:p>
      <w:pPr>
        <w:pStyle w:val="FirstParagraph"/>
      </w:pPr>
      <w:r>
        <w:t xml:space="preserve">The high-intensity, combined-attack, and adversarial-robustness results identify important failure modes. Mission success decreases when communication degradation, navigation manipulation, and integrity violations overlap for long intervals because adaptive continuation has less reliable telemetry for estimating the mission state. Severe packet loss can delay attack recognition and reduce the value of rerouting or reassignment decisions. Large spoofing-like drift can increase route deviation enough that mission-zone coverage falls below the success threshold even when the attack is detected.</w:t>
      </w:r>
    </w:p>
    <w:p>
      <w:pPr>
        <w:pStyle w:val="BodyText"/>
      </w:pPr>
      <w:r>
        <w:t xml:space="preserve">The adversarial robustness test also shows that the binary LSTM detector is vulnerable to white-box gradient perturbations when trained only on clean telemetry. RA-MARS is therefore most effective when at least partial telemetry continuity remains available, when healthier UAVs can absorb reassigned mission zones, and when the adversary cannot simultaneously manipulate all mission-assurance channels. The framework is less effective when many UAVs are simultaneously degraded, when compromised telemetry is persistent, or when the mission lacks redundant coverage capacity. These failure cases motivate adversarial training, stronger navigation fusion, online learning, and hardware-in-the-loop validation.</w:t>
      </w:r>
    </w:p>
    <w:p>
      <w:r>
        <w:pict>
          <v:rect style="width:0;height:1.5pt" o:hralign="center" o:hrstd="t" o:hr="t"/>
        </w:pict>
      </w:r>
    </w:p>
    <w:bookmarkEnd w:id="117"/>
    <w:bookmarkEnd w:id="118"/>
    <w:bookmarkStart w:id="121" w:name="computational-complexity-analysis"/>
    <w:p>
      <w:pPr>
        <w:pStyle w:val="Heading1"/>
      </w:pPr>
      <w:r>
        <w:t xml:space="preserve">Computational Complexity Analysis</w:t>
      </w:r>
    </w:p>
    <w:p>
      <w:pPr>
        <w:pStyle w:val="FirstParagraph"/>
      </w:pPr>
      <w:r>
        <w:t xml:space="preserve">This section presents the Big-O complexity of each RA-MARS module and validates deployability on the target companion computer platform (NVIDIA Jetson Nano, 472 GFLOPS FP32).</w:t>
      </w:r>
    </w:p>
    <w:bookmarkStart w:id="119" w:name="module-level-complexity"/>
    <w:p>
      <w:pPr>
        <w:pStyle w:val="Heading2"/>
      </w:pPr>
      <w:r>
        <w:t xml:space="preserve">Module-Level Complexity</w:t>
      </w:r>
    </w:p>
    <w:p>
      <w:pPr>
        <w:pStyle w:val="FirstParagraph"/>
      </w:pPr>
      <w:r>
        <w:rPr>
          <w:b/>
          <w:bCs/>
        </w:rPr>
        <w:t xml:space="preserve">Tier 1 LSTM Inference.</w:t>
      </w:r>
      <w:r>
        <w:t xml:space="preserve"> </w:t>
      </w:r>
      <w:r>
        <w:t xml:space="preserve">The 2-layer LSTM classifier processes a sequence of L = 20 telemetry steps with input dimension x = 9 and hidden dimension h = 128. The dominant computation at each step is the gate matrix multiplications. Per-step floating-point operations for layer 1 are 4(2hx + 2h²) and for layer 2 are 4(2h² + 2h²), giving a total inference cost of:</w:t>
      </w:r>
    </w:p>
    <w:p>
      <w:pPr>
        <w:pStyle w:val="BodyText"/>
      </w:pPr>
      <w:r>
        <w:t xml:space="preserve">T_LSTM = L × [4(2hx + 2h²) + 4(4h²)] ≈ O(h²·L)</w:t>
      </w:r>
    </w:p>
    <w:p>
      <w:pPr>
        <w:pStyle w:val="BodyText"/>
      </w:pPr>
      <w:r>
        <w:t xml:space="preserve">since h = 128 &gt;&gt; x = 9. For the v4 configuration (h = 128, L = 20, x = 9, 2 layers), this yields approximately 8.05 × 10⁶ floating-point operations per inference window. On the Jetson Nano at 472 GFLOPS, theoretical inference time is 0.017 ms; with PyTorch runtime overhead (≈5×), empirical inference time is approximately 0.09 ms per window. For a swarm of n UAVs, batched inference over all n windows costs O(h²·L) — identical to single-window inference because the GPU processes the batch in parallel.</w:t>
      </w:r>
    </w:p>
    <w:p>
      <w:pPr>
        <w:pStyle w:val="BodyText"/>
      </w:pPr>
      <w:r>
        <w:rPr>
          <w:b/>
          <w:bCs/>
        </w:rPr>
        <w:t xml:space="preserve">Mission Assurance Index Scoring.</w:t>
      </w:r>
      <w:r>
        <w:t xml:space="preserve"> </w:t>
      </w:r>
      <w:r>
        <w:t xml:space="preserve">MAI computation aggregates k = 5 normalised component scores per UAV: MAI = Σᵢ wᵢ·sᵢ. The cost is O(k) per UAV and O(k·n) for a swarm of n UAVs. For n = 30 and k = 5, this is 600 arithmetic operations, taking &lt; 0.1 ms.</w:t>
      </w:r>
    </w:p>
    <w:p>
      <w:pPr>
        <w:pStyle w:val="BodyText"/>
      </w:pPr>
      <w:r>
        <w:rPr>
          <w:b/>
          <w:bCs/>
        </w:rPr>
        <w:t xml:space="preserve">SHA-256 Hash-Chain Verification.</w:t>
      </w:r>
      <w:r>
        <w:t xml:space="preserve"> </w:t>
      </w:r>
      <w:r>
        <w:t xml:space="preserve">Each telemetry record (≈512 bytes) is hashed in ⌈512/64⌉ = 8 SHA-256 blocks. Each block requires 64 rounds of approximately 40 operations, giving ≈20,480 operations per record and O(r·n) per telemetry cycle, where r is the record size in bytes and n is swarm size. For n = 30 UAVs, the hash chain requires ≈614,400 operations per cycle, taking ≈0.03 ms on the Jetson Nano.</w:t>
      </w:r>
    </w:p>
    <w:p>
      <w:pPr>
        <w:pStyle w:val="BodyText"/>
      </w:pPr>
      <w:r>
        <w:rPr>
          <w:b/>
          <w:bCs/>
        </w:rPr>
        <w:t xml:space="preserve">Digital Twin Action Selection.</w:t>
      </w:r>
      <w:r>
        <w:t xml:space="preserve"> </w:t>
      </w:r>
      <w:r>
        <w:t xml:space="preserve">The greedy action selector evaluates |A| = 6 candidate actions for each of the n UAVs, computing the projected MAI for each candidate in O(k) time. Total complexity is O(|A|·k·n), which for |A| = 6, k = 5, n = 30 yields 900 evaluations, taking &lt; 0.5 ms.</w:t>
      </w:r>
    </w:p>
    <w:bookmarkEnd w:id="119"/>
    <w:bookmarkStart w:id="120" w:name="total-framework-overhead"/>
    <w:p>
      <w:pPr>
        <w:pStyle w:val="Heading2"/>
      </w:pPr>
      <w:r>
        <w:t xml:space="preserve">Total Framework Overhead</w:t>
      </w:r>
    </w:p>
    <w:p>
      <w:pPr>
        <w:pStyle w:val="FirstParagraph"/>
      </w:pPr>
      <w:r>
        <w:t xml:space="preserve">Table 3 summarises the per-cycle computational overhead of RA-MARS for a 30-UAV swarm on the Jetson Nano companion computer.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Complexity</w:t>
            </w:r>
          </w:p>
        </w:tc>
        <w:tc>
          <w:tcPr/>
          <w:p>
            <w:pPr>
              <w:pStyle w:val="Compact"/>
              <w:jc w:val="right"/>
            </w:pPr>
            <w:r>
              <w:t xml:space="preserve">Time (ms)</w:t>
            </w:r>
          </w:p>
        </w:tc>
      </w:tr>
      <w:tr>
        <w:tc>
          <w:tcPr/>
          <w:p>
            <w:pPr>
              <w:pStyle w:val="Compact"/>
            </w:pPr>
            <w:r>
              <w:t xml:space="preserve">Tier 1 LSTM inference (batched, n=30)</w:t>
            </w:r>
          </w:p>
        </w:tc>
        <w:tc>
          <w:tcPr/>
          <w:p>
            <w:pPr>
              <w:pStyle w:val="Compact"/>
            </w:pPr>
            <w:r>
              <w:t xml:space="preserve">O(h²·L)</w:t>
            </w:r>
          </w:p>
        </w:tc>
        <w:tc>
          <w:tcPr/>
          <w:p>
            <w:pPr>
              <w:pStyle w:val="Compact"/>
              <w:jc w:val="right"/>
            </w:pPr>
            <w:r>
              <w:t xml:space="preserve">0.09</w:t>
            </w:r>
          </w:p>
        </w:tc>
      </w:tr>
      <w:tr>
        <w:tc>
          <w:tcPr/>
          <w:p>
            <w:pPr>
              <w:pStyle w:val="Compact"/>
            </w:pPr>
            <w:r>
              <w:t xml:space="preserve">MAI scoring (n=30)</w:t>
            </w:r>
          </w:p>
        </w:tc>
        <w:tc>
          <w:tcPr/>
          <w:p>
            <w:pPr>
              <w:pStyle w:val="Compact"/>
            </w:pPr>
            <w:r>
              <w:t xml:space="preserve">O(k·n)</w:t>
            </w:r>
          </w:p>
        </w:tc>
        <w:tc>
          <w:tcPr/>
          <w:p>
            <w:pPr>
              <w:pStyle w:val="Compact"/>
              <w:jc w:val="right"/>
            </w:pPr>
            <w:r>
              <w:t xml:space="preserve">0.10</w:t>
            </w:r>
          </w:p>
        </w:tc>
      </w:tr>
      <w:tr>
        <w:tc>
          <w:tcPr/>
          <w:p>
            <w:pPr>
              <w:pStyle w:val="Compact"/>
            </w:pPr>
            <w:r>
              <w:t xml:space="preserve">SHA-256 hash chain (n=30)</w:t>
            </w:r>
          </w:p>
        </w:tc>
        <w:tc>
          <w:tcPr/>
          <w:p>
            <w:pPr>
              <w:pStyle w:val="Compact"/>
            </w:pPr>
            <w:r>
              <w:t xml:space="preserve">O(r·n)</w:t>
            </w:r>
          </w:p>
        </w:tc>
        <w:tc>
          <w:tcPr/>
          <w:p>
            <w:pPr>
              <w:pStyle w:val="Compact"/>
              <w:jc w:val="right"/>
            </w:pPr>
            <w:r>
              <w:t xml:space="preserve">0.03</w:t>
            </w:r>
          </w:p>
        </w:tc>
      </w:tr>
      <w:tr>
        <w:tc>
          <w:tcPr/>
          <w:p>
            <w:pPr>
              <w:pStyle w:val="Compact"/>
            </w:pPr>
            <w:r>
              <w:t xml:space="preserve">Digital twin action selection (n=30)</w:t>
            </w:r>
          </w:p>
        </w:tc>
        <w:tc>
          <w:tcPr/>
          <w:p>
            <w:pPr>
              <w:pStyle w:val="Compact"/>
            </w:pPr>
            <w:r>
              <w:t xml:space="preserve">O(|A|·k·n)</w:t>
            </w:r>
          </w:p>
        </w:tc>
        <w:tc>
          <w:tcPr/>
          <w:p>
            <w:pPr>
              <w:pStyle w:val="Compact"/>
              <w:jc w:val="right"/>
            </w:pPr>
            <w:r>
              <w:t xml:space="preserve">0.50</w:t>
            </w:r>
          </w:p>
        </w:tc>
      </w:tr>
      <w:tr>
        <w:tc>
          <w:tcPr/>
          <w:p>
            <w:pPr>
              <w:pStyle w:val="Compact"/>
            </w:pPr>
            <w:r>
              <w:t xml:space="preserve">PyTorch/Python runtime overhead</w:t>
            </w:r>
          </w:p>
        </w:tc>
        <w:tc>
          <w:tcPr/>
          <w:p>
            <w:pPr>
              <w:pStyle w:val="Compact"/>
            </w:pPr>
            <w:r>
              <w:t xml:space="preserve">—</w:t>
            </w:r>
          </w:p>
        </w:tc>
        <w:tc>
          <w:tcPr/>
          <w:p>
            <w:pPr>
              <w:pStyle w:val="Compact"/>
              <w:jc w:val="right"/>
            </w:pPr>
            <w:r>
              <w:t xml:space="preserve">10.78</w:t>
            </w:r>
          </w:p>
        </w:tc>
      </w:tr>
      <w:tr>
        <w:tc>
          <w:tcPr/>
          <w:p>
            <w:pPr>
              <w:pStyle w:val="Compact"/>
            </w:pPr>
            <w:r>
              <w:rPr>
                <w:b/>
                <w:bCs/>
              </w:rPr>
              <w:t xml:space="preserve">Total</w:t>
            </w:r>
          </w:p>
        </w:tc>
        <w:tc>
          <w:tcPr/>
          <w:p>
            <w:pPr>
              <w:pStyle w:val="Compact"/>
            </w:pPr>
            <w:r>
              <w:rPr>
                <w:b/>
                <w:bCs/>
              </w:rPr>
              <w:t xml:space="preserve">O(h²·L + k·n)</w:t>
            </w:r>
          </w:p>
        </w:tc>
        <w:tc>
          <w:tcPr/>
          <w:p>
            <w:pPr>
              <w:pStyle w:val="Compact"/>
              <w:jc w:val="right"/>
            </w:pPr>
            <w:r>
              <w:rPr>
                <w:b/>
                <w:bCs/>
              </w:rPr>
              <w:t xml:space="preserve">11.50</w:t>
            </w:r>
          </w:p>
        </w:tc>
      </w:tr>
    </w:tbl>
    <w:p>
      <w:pPr>
        <w:pStyle w:val="BodyText"/>
      </w:pPr>
      <w:r>
        <w:t xml:space="preserve">The total RA-MARS overhead of 11.5 ms per telemetry cycle represents 1.15% of the 1,000 ms MAVLink telemetry interval, and approximately 5 flight controller cycles at 400 Hz. The framework is therefore deployable on the Jetson Nano companion computer without interfering with the primary flight control loop.</w:t>
      </w:r>
    </w:p>
    <w:p>
      <w:pPr>
        <w:pStyle w:val="BodyText"/>
      </w:pPr>
      <w:r>
        <w:t xml:space="preserve">The dominant practical overhead is Python/PyTorch runtime (10.78 ms) rather than the algorithmic computation (0.72 ms). Migrating the LSTM inference to TensorRT on the Jetson Nano — which typically provides 3–5× speedup over PyTorch on Jetson hardware — would reduce total overhead to approximately 4–6 ms, further increasing the deployability margin. This optimisation is deferred to hardware-in-the-loop validation as future work.</w:t>
      </w:r>
    </w:p>
    <w:bookmarkEnd w:id="120"/>
    <w:bookmarkEnd w:id="121"/>
    <w:bookmarkStart w:id="126" w:name="limitations-and-future-work"/>
    <w:p>
      <w:pPr>
        <w:pStyle w:val="Heading1"/>
      </w:pPr>
      <w:r>
        <w:t xml:space="preserve">Limitations and Future Work</w:t>
      </w:r>
    </w:p>
    <w:bookmarkStart w:id="122" w:name="energy-model-1"/>
    <w:p>
      <w:pPr>
        <w:pStyle w:val="Heading2"/>
      </w:pPr>
      <w:r>
        <w:t xml:space="preserve">Energy Model</w:t>
      </w:r>
    </w:p>
    <w:p>
      <w:pPr>
        <w:pStyle w:val="FirstParagraph"/>
      </w:pPr>
      <w:r>
        <w:t xml:space="preserve">The energy consumption of each UAV is modelled using a power-based approach. Each UAV is assumed to be a multi-rotor platform in the DJI Matrice 300 class, with the following power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Flight mode</w:t>
            </w:r>
          </w:p>
        </w:tc>
        <w:tc>
          <w:tcPr/>
          <w:p>
            <w:pPr>
              <w:pStyle w:val="Compact"/>
            </w:pPr>
            <w:r>
              <w:t xml:space="preserve">Power draw</w:t>
            </w:r>
          </w:p>
        </w:tc>
      </w:tr>
      <w:tr>
        <w:tc>
          <w:tcPr/>
          <w:p>
            <w:pPr>
              <w:pStyle w:val="Compact"/>
            </w:pPr>
            <w:r>
              <w:t xml:space="preserve">Hover</w:t>
            </w:r>
          </w:p>
        </w:tc>
        <w:tc>
          <w:tcPr/>
          <w:p>
            <w:pPr>
              <w:pStyle w:val="Compact"/>
            </w:pPr>
            <w:r>
              <w:t xml:space="preserve">300 W</w:t>
            </w:r>
          </w:p>
        </w:tc>
      </w:tr>
      <w:tr>
        <w:tc>
          <w:tcPr/>
          <w:p>
            <w:pPr>
              <w:pStyle w:val="Compact"/>
            </w:pPr>
            <w:r>
              <w:t xml:space="preserve">Cruise (15 m/s)</w:t>
            </w:r>
          </w:p>
        </w:tc>
        <w:tc>
          <w:tcPr/>
          <w:p>
            <w:pPr>
              <w:pStyle w:val="Compact"/>
            </w:pPr>
            <w:r>
              <w:t xml:space="preserve">180 W</w:t>
            </w:r>
          </w:p>
        </w:tc>
      </w:tr>
      <w:tr>
        <w:tc>
          <w:tcPr/>
          <w:p>
            <w:pPr>
              <w:pStyle w:val="Compact"/>
            </w:pPr>
            <w:r>
              <w:t xml:space="preserve">Companion computer (Jetson Nano class)</w:t>
            </w:r>
          </w:p>
        </w:tc>
        <w:tc>
          <w:tcPr/>
          <w:p>
            <w:pPr>
              <w:pStyle w:val="Compact"/>
            </w:pPr>
            <w:r>
              <w:t xml:space="preserve">10 W</w:t>
            </w:r>
          </w:p>
        </w:tc>
      </w:tr>
      <w:tr>
        <w:tc>
          <w:tcPr/>
          <w:p>
            <w:pPr>
              <w:pStyle w:val="Compact"/>
            </w:pPr>
            <w:r>
              <w:t xml:space="preserve">Communication overhead</w:t>
            </w:r>
          </w:p>
        </w:tc>
        <w:tc>
          <w:tcPr/>
          <w:p>
            <w:pPr>
              <w:pStyle w:val="Compact"/>
            </w:pPr>
            <w:r>
              <w:t xml:space="preserve">2 W</w:t>
            </w:r>
          </w:p>
        </w:tc>
      </w:tr>
    </w:tbl>
    <w:p>
      <w:pPr>
        <w:pStyle w:val="BodyText"/>
      </w:pPr>
      <w:r>
        <w:t xml:space="preserve">Energy consumed per telemetry interval (1 second) is computed as E = P × Δt, where P is the total power draw for the current flight mode and Δt = 1 s. Energy is normalised to [0, 1] relative to the hover + compute baseline (312 W). The energy penalty in the Mission Assurance Index penalises high consumption rates that reduce mission endurance. Under normal operation, the normalised energy rate is approximately 0.013 per telemetry interval, corresponding to approximately 75 minutes of hover endurance at full battery capacity.</w:t>
      </w:r>
    </w:p>
    <w:bookmarkEnd w:id="122"/>
    <w:bookmarkStart w:id="123" w:name="inter-uav-communication-model-1"/>
    <w:p>
      <w:pPr>
        <w:pStyle w:val="Heading2"/>
      </w:pPr>
      <w:r>
        <w:t xml:space="preserve">Inter-UAV Communication Model</w:t>
      </w:r>
    </w:p>
    <w:p>
      <w:pPr>
        <w:pStyle w:val="FirstParagraph"/>
      </w:pPr>
      <w:r>
        <w:t xml:space="preserve">UAV-to-UAV coordination within RA-MARS uses MAVLink 2 messaging over the 900 MHz C2 link. Each UAV broadcasts its current mission state, MAI score, and adaptive action at the MAVLink telemetry rate (10 Hz). The GCS aggregates swarm-level MAI scores and issues mission-level commands at 4 Hz. Under jamming conditions, the C2 link SINR degradation affects both GCS-to-UAV and UAV-to-UAV links equally, as all links share the same frequency band and are subject to the same jammer ERP. Future work will investigate mesh networking protocols (e.g., OLSR, AODV) to improve swarm communication resilience under partial jamming.</w:t>
      </w:r>
    </w:p>
    <w:bookmarkEnd w:id="123"/>
    <w:bookmarkStart w:id="124"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24"/>
    <w:bookmarkStart w:id="125"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25"/>
    <w:bookmarkEnd w:id="126"/>
    <w:bookmarkStart w:id="127"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v4 evaluation used synthetic multi-UAV telemetry data with 90,000 sequence-safe telemetry rows and temporal non-leakage windows. Derived Mission Assurance Index and component scores were excluded from classifier inputs to avoid feature leakage. The Tier 1 Binary LSTM achieved 95.73% macro F1-score for real-time attack/normal detection, while the Tier 2 Weighted GRU achieved 60.07% macro F1-score for eight-class forensic attribution.</w:t>
      </w:r>
    </w:p>
    <w:p>
      <w:pPr>
        <w:pStyle w:val="BodyText"/>
      </w:pPr>
      <w:r>
        <w:t xml:space="preserve">At the mission level, full RA-MARS achieved a Mission Assurance Index of 0.7012 ± 0.0042 and a mission success rate of 73.61 ± 0.87%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27"/>
    <w:bookmarkStart w:id="128"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at: https://github.com/drsaikrishnathota1/ra-mars-defence-technology</w:t>
      </w:r>
    </w:p>
    <w:bookmarkEnd w:id="128"/>
    <w:bookmarkStart w:id="129"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simulation code is available at: https://github.com/drsaikrishnathota1/ra-mars-defence-technology</w:t>
      </w:r>
    </w:p>
    <w:bookmarkEnd w:id="129"/>
    <w:bookmarkStart w:id="186"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72" w:name="figures"/>
    <w:p>
      <w:pPr>
        <w:pStyle w:val="Heading2"/>
      </w:pPr>
      <w:r>
        <w:t xml:space="preserve">Figures</w:t>
      </w:r>
    </w:p>
    <w:p>
      <w:pPr>
        <w:pStyle w:val="CaptionedFigure"/>
      </w:pPr>
      <w:r>
        <w:drawing>
          <wp:inline>
            <wp:extent cx="5334000" cy="2872153"/>
            <wp:effectExtent b="0" l="0" r="0" t="0"/>
            <wp:docPr descr="Figure 1. RA-MARS cross-layer mission assurance digital twin architecture." title="" id="131" name="Picture"/>
            <a:graphic>
              <a:graphicData uri="http://schemas.openxmlformats.org/drawingml/2006/picture">
                <pic:pic>
                  <pic:nvPicPr>
                    <pic:cNvPr descr="figures/figure_v3_cross_layer_architecture.png" id="132" name="Picture"/>
                    <pic:cNvPicPr>
                      <a:picLocks noChangeArrowheads="1" noChangeAspect="1"/>
                    </pic:cNvPicPr>
                  </pic:nvPicPr>
                  <pic:blipFill>
                    <a:blip r:embed="rId13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34" name="Picture"/>
            <a:graphic>
              <a:graphicData uri="http://schemas.openxmlformats.org/drawingml/2006/picture">
                <pic:pic>
                  <pic:nvPicPr>
                    <pic:cNvPr descr="figures/ra_mars_threat_model.png" id="135" name="Picture"/>
                    <pic:cNvPicPr>
                      <a:picLocks noChangeArrowheads="1" noChangeAspect="1"/>
                    </pic:cNvPicPr>
                  </pic:nvPicPr>
                  <pic:blipFill>
                    <a:blip r:embed="rId13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closed-loop mission assurance workflow." title="" id="137" name="Picture"/>
            <a:graphic>
              <a:graphicData uri="http://schemas.openxmlformats.org/drawingml/2006/picture">
                <pic:pic>
                  <pic:nvPicPr>
                    <pic:cNvPr descr="figures/figure_v3_closed_loop_workflow.png" id="138" name="Picture"/>
                    <pic:cNvPicPr>
                      <a:picLocks noChangeArrowheads="1" noChangeAspect="1"/>
                    </pic:cNvPicPr>
                  </pic:nvPicPr>
                  <pic:blipFill>
                    <a:blip r:embed="rId13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closed-loop mission assurance workflow.</w:t>
      </w:r>
    </w:p>
    <w:p>
      <w:pPr>
        <w:pStyle w:val="CaptionedFigure"/>
      </w:pPr>
      <w:r>
        <w:drawing>
          <wp:inline>
            <wp:extent cx="5334000" cy="3733800"/>
            <wp:effectExtent b="0" l="0" r="0" t="0"/>
            <wp:docPr descr="Figure 4. Mission Assurance Index component model." title="" id="140" name="Picture"/>
            <a:graphic>
              <a:graphicData uri="http://schemas.openxmlformats.org/drawingml/2006/picture">
                <pic:pic>
                  <pic:nvPicPr>
                    <pic:cNvPr descr="figures/figure_v3_mission_assurance_index_components.png" id="141" name="Picture"/>
                    <pic:cNvPicPr>
                      <a:picLocks noChangeArrowheads="1" noChangeAspect="1"/>
                    </pic:cNvPicPr>
                  </pic:nvPicPr>
                  <pic:blipFill>
                    <a:blip r:embed="rId13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experimental evaluation pipeline." title="" id="143" name="Picture"/>
            <a:graphic>
              <a:graphicData uri="http://schemas.openxmlformats.org/drawingml/2006/picture">
                <pic:pic>
                  <pic:nvPicPr>
                    <pic:cNvPr descr="figures/figure_v3_experimental_pipeline.png" id="144" name="Picture"/>
                    <pic:cNvPicPr>
                      <a:picLocks noChangeArrowheads="1" noChangeAspect="1"/>
                    </pic:cNvPicPr>
                  </pic:nvPicPr>
                  <pic:blipFill>
                    <a:blip r:embed="rId142"/>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experimental evaluation pipeline.</w:t>
      </w:r>
    </w:p>
    <w:p>
      <w:pPr>
        <w:pStyle w:val="CaptionedFigure"/>
      </w:pPr>
      <w:r>
        <w:drawing>
          <wp:inline>
            <wp:extent cx="5334000" cy="2222500"/>
            <wp:effectExtent b="0" l="0" r="0" t="0"/>
            <wp:docPr descr="Figure 6. RA-MARS attack timeline with detection and recovery events." title="" id="146" name="Picture"/>
            <a:graphic>
              <a:graphicData uri="http://schemas.openxmlformats.org/drawingml/2006/picture">
                <pic:pic>
                  <pic:nvPicPr>
                    <pic:cNvPr descr="figures/figure_v3_attack_timeline.png" id="147" name="Picture"/>
                    <pic:cNvPicPr>
                      <a:picLocks noChangeArrowheads="1" noChangeAspect="1"/>
                    </pic:cNvPicPr>
                  </pic:nvPicPr>
                  <pic:blipFill>
                    <a:blip r:embed="rId145"/>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attack timeline with detection and recovery events.</w:t>
      </w:r>
    </w:p>
    <w:p>
      <w:pPr>
        <w:pStyle w:val="CaptionedFigure"/>
      </w:pPr>
      <w:r>
        <w:drawing>
          <wp:inline>
            <wp:extent cx="5334000" cy="1747111"/>
            <wp:effectExtent b="0" l="0" r="0" t="0"/>
            <wp:docPr descr="Figure 7. RA-MARS v4 model comparison by macro F1-score." title="" id="149" name="Picture"/>
            <a:graphic>
              <a:graphicData uri="http://schemas.openxmlformats.org/drawingml/2006/picture">
                <pic:pic>
                  <pic:nvPicPr>
                    <pic:cNvPr descr="figures/fig07_model_comparison_v4.png" id="150" name="Picture"/>
                    <pic:cNvPicPr>
                      <a:picLocks noChangeArrowheads="1" noChangeAspect="1"/>
                    </pic:cNvPicPr>
                  </pic:nvPicPr>
                  <pic:blipFill>
                    <a:blip r:embed="rId148"/>
                    <a:stretch>
                      <a:fillRect/>
                    </a:stretch>
                  </pic:blipFill>
                  <pic:spPr bwMode="auto">
                    <a:xfrm>
                      <a:off x="0" y="0"/>
                      <a:ext cx="5334000" cy="1747111"/>
                    </a:xfrm>
                    <a:prstGeom prst="rect">
                      <a:avLst/>
                    </a:prstGeom>
                    <a:noFill/>
                    <a:ln w="9525">
                      <a:noFill/>
                      <a:headEnd/>
                      <a:tailEnd/>
                    </a:ln>
                  </pic:spPr>
                </pic:pic>
              </a:graphicData>
            </a:graphic>
          </wp:inline>
        </w:drawing>
      </w:r>
    </w:p>
    <w:p>
      <w:pPr>
        <w:pStyle w:val="ImageCaption"/>
      </w:pPr>
      <w:r>
        <w:t xml:space="preserve">Figure 7. RA-MARS v4 model comparison by macro F1-score.</w:t>
      </w:r>
    </w:p>
    <w:p>
      <w:pPr>
        <w:pStyle w:val="CaptionedFigure"/>
      </w:pPr>
      <w:r>
        <w:drawing>
          <wp:inline>
            <wp:extent cx="4347597" cy="3463728"/>
            <wp:effectExtent b="0" l="0" r="0" t="0"/>
            <wp:docPr descr="Figure 8. Binary LSTM confusion matrix — attack/normal classification (95.73% macro F1)." title="" id="152" name="Picture"/>
            <a:graphic>
              <a:graphicData uri="http://schemas.openxmlformats.org/drawingml/2006/picture">
                <pic:pic>
                  <pic:nvPicPr>
                    <pic:cNvPr descr="figures/fig08_confusion_matrix_binary_v4.png" id="153" name="Picture"/>
                    <pic:cNvPicPr>
                      <a:picLocks noChangeArrowheads="1" noChangeAspect="1"/>
                    </pic:cNvPicPr>
                  </pic:nvPicPr>
                  <pic:blipFill>
                    <a:blip r:embed="rId151"/>
                    <a:stretch>
                      <a:fillRect/>
                    </a:stretch>
                  </pic:blipFill>
                  <pic:spPr bwMode="auto">
                    <a:xfrm>
                      <a:off x="0" y="0"/>
                      <a:ext cx="4347597" cy="3463728"/>
                    </a:xfrm>
                    <a:prstGeom prst="rect">
                      <a:avLst/>
                    </a:prstGeom>
                    <a:noFill/>
                    <a:ln w="9525">
                      <a:noFill/>
                      <a:headEnd/>
                      <a:tailEnd/>
                    </a:ln>
                  </pic:spPr>
                </pic:pic>
              </a:graphicData>
            </a:graphic>
          </wp:inline>
        </w:drawing>
      </w:r>
    </w:p>
    <w:p>
      <w:pPr>
        <w:pStyle w:val="ImageCaption"/>
      </w:pPr>
      <w:r>
        <w:t xml:space="preserve">Figure 8. Binary LSTM confusion matrix — attack/normal classification (95.73% macro F1).</w:t>
      </w:r>
    </w:p>
    <w:p>
      <w:pPr>
        <w:pStyle w:val="CaptionedFigure"/>
      </w:pPr>
      <w:r>
        <w:drawing>
          <wp:inline>
            <wp:extent cx="5334000" cy="2798952"/>
            <wp:effectExtent b="0" l="0" r="0" t="0"/>
            <wp:docPr descr="Figure 9. Per-class precision, recall and F1-score — Weighted LSTM." title="" id="155" name="Picture"/>
            <a:graphic>
              <a:graphicData uri="http://schemas.openxmlformats.org/drawingml/2006/picture">
                <pic:pic>
                  <pic:nvPicPr>
                    <pic:cNvPr descr="figures/fig09_per_class_f1_weighted_lstm.png" id="156" name="Picture"/>
                    <pic:cNvPicPr>
                      <a:picLocks noChangeArrowheads="1" noChangeAspect="1"/>
                    </pic:cNvPicPr>
                  </pic:nvPicPr>
                  <pic:blipFill>
                    <a:blip r:embed="rId154"/>
                    <a:stretch>
                      <a:fillRect/>
                    </a:stretch>
                  </pic:blipFill>
                  <pic:spPr bwMode="auto">
                    <a:xfrm>
                      <a:off x="0" y="0"/>
                      <a:ext cx="5334000" cy="2798952"/>
                    </a:xfrm>
                    <a:prstGeom prst="rect">
                      <a:avLst/>
                    </a:prstGeom>
                    <a:noFill/>
                    <a:ln w="9525">
                      <a:noFill/>
                      <a:headEnd/>
                      <a:tailEnd/>
                    </a:ln>
                  </pic:spPr>
                </pic:pic>
              </a:graphicData>
            </a:graphic>
          </wp:inline>
        </w:drawing>
      </w:r>
    </w:p>
    <w:p>
      <w:pPr>
        <w:pStyle w:val="ImageCaption"/>
      </w:pPr>
      <w:r>
        <w:t xml:space="preserve">Figure 9. Per-class precision, recall and F1-score — Weighted LSTM.</w:t>
      </w:r>
    </w:p>
    <w:p>
      <w:pPr>
        <w:pStyle w:val="CaptionedFigure"/>
      </w:pPr>
      <w:r>
        <w:drawing>
          <wp:inline>
            <wp:extent cx="5334000" cy="2028878"/>
            <wp:effectExtent b="0" l="0" r="0" t="0"/>
            <wp:docPr descr="Figure 10. Ablation study — component contribution to mission performance (95% CI, 30 runs) for mission success." title="" id="158" name="Picture"/>
            <a:graphic>
              <a:graphicData uri="http://schemas.openxmlformats.org/drawingml/2006/picture">
                <pic:pic>
                  <pic:nvPicPr>
                    <pic:cNvPr descr="figures/fig10_ablation_v4.png" id="159" name="Picture"/>
                    <pic:cNvPicPr>
                      <a:picLocks noChangeArrowheads="1" noChangeAspect="1"/>
                    </pic:cNvPicPr>
                  </pic:nvPicPr>
                  <pic:blipFill>
                    <a:blip r:embed="rId157"/>
                    <a:stretch>
                      <a:fillRect/>
                    </a:stretch>
                  </pic:blipFill>
                  <pic:spPr bwMode="auto">
                    <a:xfrm>
                      <a:off x="0" y="0"/>
                      <a:ext cx="5334000" cy="2028878"/>
                    </a:xfrm>
                    <a:prstGeom prst="rect">
                      <a:avLst/>
                    </a:prstGeom>
                    <a:noFill/>
                    <a:ln w="9525">
                      <a:noFill/>
                      <a:headEnd/>
                      <a:tailEnd/>
                    </a:ln>
                  </pic:spPr>
                </pic:pic>
              </a:graphicData>
            </a:graphic>
          </wp:inline>
        </w:drawing>
      </w:r>
    </w:p>
    <w:p>
      <w:pPr>
        <w:pStyle w:val="ImageCaption"/>
      </w:pPr>
      <w:r>
        <w:t xml:space="preserve">Figure 10. Ablation study — component contribution to mission performance (95% CI, 30 runs) for mission success.</w:t>
      </w:r>
    </w:p>
    <w:p>
      <w:pPr>
        <w:pStyle w:val="CaptionedFigure"/>
      </w:pPr>
      <w:r>
        <w:drawing>
          <wp:inline>
            <wp:extent cx="5334000" cy="1751361"/>
            <wp:effectExtent b="0" l="0" r="0" t="0"/>
            <wp:docPr descr="Figure 11. Scalability analysis — mission performance across 10, 20 and 30 UAV swarm sizes (95% CI) by UAV count." title="" id="161" name="Picture"/>
            <a:graphic>
              <a:graphicData uri="http://schemas.openxmlformats.org/drawingml/2006/picture">
                <pic:pic>
                  <pic:nvPicPr>
                    <pic:cNvPr descr="figures/fig11_scalability_v4.png" id="162" name="Picture"/>
                    <pic:cNvPicPr>
                      <a:picLocks noChangeArrowheads="1" noChangeAspect="1"/>
                    </pic:cNvPicPr>
                  </pic:nvPicPr>
                  <pic:blipFill>
                    <a:blip r:embed="rId160"/>
                    <a:stretch>
                      <a:fillRect/>
                    </a:stretch>
                  </pic:blipFill>
                  <pic:spPr bwMode="auto">
                    <a:xfrm>
                      <a:off x="0" y="0"/>
                      <a:ext cx="5334000" cy="1751361"/>
                    </a:xfrm>
                    <a:prstGeom prst="rect">
                      <a:avLst/>
                    </a:prstGeom>
                    <a:noFill/>
                    <a:ln w="9525">
                      <a:noFill/>
                      <a:headEnd/>
                      <a:tailEnd/>
                    </a:ln>
                  </pic:spPr>
                </pic:pic>
              </a:graphicData>
            </a:graphic>
          </wp:inline>
        </w:drawing>
      </w:r>
    </w:p>
    <w:p>
      <w:pPr>
        <w:pStyle w:val="ImageCaption"/>
      </w:pPr>
      <w:r>
        <w:t xml:space="preserve">Figure 11. Scalability analysis — mission performance across 10, 20 and 30 UAV swarm sizes (95% CI) by UAV count.</w:t>
      </w:r>
    </w:p>
    <w:p>
      <w:pPr>
        <w:pStyle w:val="CaptionedFigure"/>
      </w:pPr>
      <w:r>
        <w:drawing>
          <wp:inline>
            <wp:extent cx="5334000" cy="2109086"/>
            <wp:effectExtent b="0" l="0" r="0" t="0"/>
            <wp:docPr descr="Figure 12. Attack intensity stress test — mission performance under none, low, medium and high intensity attacks (95% CI)." title="" id="164" name="Picture"/>
            <a:graphic>
              <a:graphicData uri="http://schemas.openxmlformats.org/drawingml/2006/picture">
                <pic:pic>
                  <pic:nvPicPr>
                    <pic:cNvPr descr="figures/fig12_attack_intensity_v4.png" id="165" name="Picture"/>
                    <pic:cNvPicPr>
                      <a:picLocks noChangeArrowheads="1" noChangeAspect="1"/>
                    </pic:cNvPicPr>
                  </pic:nvPicPr>
                  <pic:blipFill>
                    <a:blip r:embed="rId163"/>
                    <a:stretch>
                      <a:fillRect/>
                    </a:stretch>
                  </pic:blipFill>
                  <pic:spPr bwMode="auto">
                    <a:xfrm>
                      <a:off x="0" y="0"/>
                      <a:ext cx="5334000" cy="2109086"/>
                    </a:xfrm>
                    <a:prstGeom prst="rect">
                      <a:avLst/>
                    </a:prstGeom>
                    <a:noFill/>
                    <a:ln w="9525">
                      <a:noFill/>
                      <a:headEnd/>
                      <a:tailEnd/>
                    </a:ln>
                  </pic:spPr>
                </pic:pic>
              </a:graphicData>
            </a:graphic>
          </wp:inline>
        </w:drawing>
      </w:r>
    </w:p>
    <w:p>
      <w:pPr>
        <w:pStyle w:val="ImageCaption"/>
      </w:pPr>
      <w:r>
        <w:t xml:space="preserve">Figure 12. Attack intensity stress test — mission performance under none, low, medium and high intensity attacks (95% CI).</w:t>
      </w:r>
    </w:p>
    <w:p>
      <w:pPr>
        <w:pStyle w:val="CaptionedFigure"/>
      </w:pPr>
      <w:r>
        <w:drawing>
          <wp:inline>
            <wp:extent cx="5334000" cy="2105454"/>
            <wp:effectExtent b="0" l="0" r="0" t="0"/>
            <wp:docPr descr="Figure 13. Adversarial robustness — binary LSTM classifier (clean F1=0.957) under FGSM and PGD white-box attacks. F1 drops below 0.31 at ε=0.01, motivating adversarial training as future work." title="" id="167" name="Picture"/>
            <a:graphic>
              <a:graphicData uri="http://schemas.openxmlformats.org/drawingml/2006/picture">
                <pic:pic>
                  <pic:nvPicPr>
                    <pic:cNvPr descr="figures/fig13_adversarial_robustness_v4.png" id="168" name="Picture"/>
                    <pic:cNvPicPr>
                      <a:picLocks noChangeArrowheads="1" noChangeAspect="1"/>
                    </pic:cNvPicPr>
                  </pic:nvPicPr>
                  <pic:blipFill>
                    <a:blip r:embed="rId166"/>
                    <a:stretch>
                      <a:fillRect/>
                    </a:stretch>
                  </pic:blipFill>
                  <pic:spPr bwMode="auto">
                    <a:xfrm>
                      <a:off x="0" y="0"/>
                      <a:ext cx="5334000" cy="2105454"/>
                    </a:xfrm>
                    <a:prstGeom prst="rect">
                      <a:avLst/>
                    </a:prstGeom>
                    <a:noFill/>
                    <a:ln w="9525">
                      <a:noFill/>
                      <a:headEnd/>
                      <a:tailEnd/>
                    </a:ln>
                  </pic:spPr>
                </pic:pic>
              </a:graphicData>
            </a:graphic>
          </wp:inline>
        </w:drawing>
      </w:r>
    </w:p>
    <w:p>
      <w:pPr>
        <w:pStyle w:val="ImageCaption"/>
      </w:pPr>
      <w:r>
        <w:t xml:space="preserve">Figure 13. Adversarial robustness — binary LSTM classifier (clean F1=0.957) under FGSM and PGD white-box attacks. F1 drops below 0.31 at ε=0.01, motivating adversarial training as future work.</w:t>
      </w:r>
    </w:p>
    <w:p>
      <w:pPr>
        <w:pStyle w:val="CaptionedFigure"/>
      </w:pPr>
      <w:r>
        <w:drawing>
          <wp:inline>
            <wp:extent cx="5334000" cy="1748345"/>
            <wp:effectExtent b="0" l="0" r="0" t="0"/>
            <wp:docPr descr="Figure 14. RF channel model validation — SINR, PDR and latency under Friis path loss with jammer ERP model." title="" id="170" name="Picture"/>
            <a:graphic>
              <a:graphicData uri="http://schemas.openxmlformats.org/drawingml/2006/picture">
                <pic:pic>
                  <pic:nvPicPr>
                    <pic:cNvPr descr="figures/fig05_rf_channel_validation_v4.png" id="171" name="Picture"/>
                    <pic:cNvPicPr>
                      <a:picLocks noChangeArrowheads="1" noChangeAspect="1"/>
                    </pic:cNvPicPr>
                  </pic:nvPicPr>
                  <pic:blipFill>
                    <a:blip r:embed="rId169"/>
                    <a:stretch>
                      <a:fillRect/>
                    </a:stretch>
                  </pic:blipFill>
                  <pic:spPr bwMode="auto">
                    <a:xfrm>
                      <a:off x="0" y="0"/>
                      <a:ext cx="5334000" cy="1748345"/>
                    </a:xfrm>
                    <a:prstGeom prst="rect">
                      <a:avLst/>
                    </a:prstGeom>
                    <a:noFill/>
                    <a:ln w="9525">
                      <a:noFill/>
                      <a:headEnd/>
                      <a:tailEnd/>
                    </a:ln>
                  </pic:spPr>
                </pic:pic>
              </a:graphicData>
            </a:graphic>
          </wp:inline>
        </w:drawing>
      </w:r>
    </w:p>
    <w:p>
      <w:pPr>
        <w:pStyle w:val="ImageCaption"/>
      </w:pPr>
      <w:r>
        <w:t xml:space="preserve">Figure 14. RF channel model validation — SINR, PDR and latency under Friis path loss with jammer ERP model.</w:t>
      </w:r>
    </w:p>
    <w:bookmarkEnd w:id="172"/>
    <w:bookmarkStart w:id="185" w:name="supplementary-figures"/>
    <w:p>
      <w:pPr>
        <w:pStyle w:val="Heading2"/>
      </w:pPr>
      <w:r>
        <w:t xml:space="preserve">Supplementary Figures</w:t>
      </w:r>
    </w:p>
    <w:p>
      <w:pPr>
        <w:pStyle w:val="FirstParagraph"/>
      </w:pPr>
      <w:r>
        <w:t xml:space="preserve">The following supplementary figures accompany the PX4-style MAVLink telemetry validation case study described in Section 6.4.</w:t>
      </w:r>
    </w:p>
    <w:p>
      <w:pPr>
        <w:pStyle w:val="CaptionedFigure"/>
      </w:pPr>
      <w:r>
        <w:drawing>
          <wp:inline>
            <wp:extent cx="5334000" cy="2963333"/>
            <wp:effectExtent b="0" l="0" r="0" t="0"/>
            <wp:docPr descr="Supplementary Figure S1. PX4-style mission assurance index over time across attack intervals." title="" id="174" name="Picture"/>
            <a:graphic>
              <a:graphicData uri="http://schemas.openxmlformats.org/drawingml/2006/picture">
                <pic:pic>
                  <pic:nvPicPr>
                    <pic:cNvPr descr="figures/px4_style_mission_assurance_index.png" id="175" name="Picture"/>
                    <pic:cNvPicPr>
                      <a:picLocks noChangeArrowheads="1" noChangeAspect="1"/>
                    </pic:cNvPicPr>
                  </pic:nvPicPr>
                  <pic:blipFill>
                    <a:blip r:embed="rId17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Supplementary Figure S1. PX4-style mission assurance index over time across attack intervals.</w:t>
      </w:r>
    </w:p>
    <w:p>
      <w:pPr>
        <w:pStyle w:val="CaptionedFigure"/>
      </w:pPr>
      <w:r>
        <w:drawing>
          <wp:inline>
            <wp:extent cx="5334000" cy="2963333"/>
            <wp:effectExtent b="0" l="0" r="0" t="0"/>
            <wp:docPr descr="Supplementary Figure S2. PX4-style attack timeline showing jamming, spoofing, tampering, and combined attack intervals with MAI response." title="" id="177" name="Picture"/>
            <a:graphic>
              <a:graphicData uri="http://schemas.openxmlformats.org/drawingml/2006/picture">
                <pic:pic>
                  <pic:nvPicPr>
                    <pic:cNvPr descr="figures/px4_style_attack_timeline.png" id="178" name="Picture"/>
                    <pic:cNvPicPr>
                      <a:picLocks noChangeArrowheads="1" noChangeAspect="1"/>
                    </pic:cNvPicPr>
                  </pic:nvPicPr>
                  <pic:blipFill>
                    <a:blip r:embed="rId17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Supplementary Figure S2. PX4-style attack timeline showing jamming, spoofing, tampering, and combined attack intervals with MAI response.</w:t>
      </w:r>
    </w:p>
    <w:p>
      <w:pPr>
        <w:pStyle w:val="CaptionedFigure"/>
      </w:pPr>
      <w:r>
        <w:drawing>
          <wp:inline>
            <wp:extent cx="5334000" cy="3333749"/>
            <wp:effectExtent b="0" l="0" r="0" t="0"/>
            <wp:docPr descr="Supplementary Figure S3. PX4-style digital twin action selection across mission intervals." title="" id="180" name="Picture"/>
            <a:graphic>
              <a:graphicData uri="http://schemas.openxmlformats.org/drawingml/2006/picture">
                <pic:pic>
                  <pic:nvPicPr>
                    <pic:cNvPr descr="figures/px4_style_action_selection.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Supplementary Figure S3. PX4-style digital twin action selection across mission intervals.</w:t>
      </w:r>
    </w:p>
    <w:p>
      <w:pPr>
        <w:pStyle w:val="CaptionedFigure"/>
      </w:pPr>
      <w:r>
        <w:drawing>
          <wp:inline>
            <wp:extent cx="5334000" cy="4000499"/>
            <wp:effectExtent b="0" l="0" r="0" t="0"/>
            <wp:docPr descr="Supplementary Figure S4. PX4-style UAV mission trajectories under normal and spoofing-like attack conditions." title="" id="183" name="Picture"/>
            <a:graphic>
              <a:graphicData uri="http://schemas.openxmlformats.org/drawingml/2006/picture">
                <pic:pic>
                  <pic:nvPicPr>
                    <pic:cNvPr descr="figures/px4_style_mission_trajectories.png" id="184" name="Picture"/>
                    <pic:cNvPicPr>
                      <a:picLocks noChangeArrowheads="1" noChangeAspect="1"/>
                    </pic:cNvPicPr>
                  </pic:nvPicPr>
                  <pic:blipFill>
                    <a:blip r:embed="rId18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Supplementary Figure S4. PX4-style UAV mission trajectories under normal and spoofing-like attack conditions.</w:t>
      </w:r>
    </w:p>
    <w:bookmarkEnd w:id="185"/>
    <w:bookmarkEnd w:id="186"/>
    <w:bookmarkStart w:id="187" w:name="author-contributions"/>
    <w:p>
      <w:pPr>
        <w:pStyle w:val="Heading1"/>
      </w:pPr>
      <w:r>
        <w:t xml:space="preserve">Author Contributions</w:t>
      </w:r>
    </w:p>
    <w:p>
      <w:pPr>
        <w:pStyle w:val="FirstParagraph"/>
      </w:pPr>
      <w:r>
        <w:rPr>
          <w:b/>
          <w:bCs/>
        </w:rPr>
        <w:t xml:space="preserve">Dr. Sai Krishna Thota:</w:t>
      </w:r>
      <w:r>
        <w:t xml:space="preserve"> </w:t>
      </w:r>
      <w:r>
        <w:t xml:space="preserve">Conceptualization, Methodology, Software, Validation, Formal analysis, Investigation, Data curation, Writing — original draft, Writing — review and editing, Visualization.</w:t>
      </w:r>
    </w:p>
    <w:bookmarkEnd w:id="187"/>
    <w:bookmarkStart w:id="188" w:name="declaration-of-competing-interests"/>
    <w:p>
      <w:pPr>
        <w:pStyle w:val="Heading1"/>
      </w:pPr>
      <w:r>
        <w:t xml:space="preserve">Declaration of Competing Interests</w:t>
      </w:r>
    </w:p>
    <w:p>
      <w:pPr>
        <w:pStyle w:val="FirstParagraph"/>
      </w:pPr>
      <w:r>
        <w:t xml:space="preserve">The author declares that there are no known competing financial interests or personal relationships that could have appeared to influence the work reported in this paper.</w:t>
      </w:r>
    </w:p>
    <w:bookmarkEnd w:id="188"/>
    <w:bookmarkStart w:id="189"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89"/>
    <w:bookmarkStart w:id="191"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AI-assisted writing tools in order to improve language clarity and readability. After using these tools, the author reviewed and edited all content as needed and takes full responsibility for the content of the published article.</w:t>
      </w:r>
    </w:p>
    <w:bookmarkStart w:id="190" w:name="references"/>
    <w:p>
      <w:pPr>
        <w:pStyle w:val="Heading2"/>
      </w:pPr>
      <w:r>
        <w:t xml:space="preserve">References</w:t>
      </w:r>
    </w:p>
    <w:p>
      <w:pPr>
        <w:pStyle w:val="FirstParagraph"/>
      </w:pPr>
      <w:r>
        <w:t xml:space="preserve">[1] P. Stodola, J. Nohel, and L. Horák, “Dynamic reconnaissance operations with UAV swarms: adapting to environmental changes,” Sci. Rep., vol. 15, article 15092, 2025, doi: 10.1038/s41598-025-00201-4.</w:t>
      </w:r>
    </w:p>
    <w:p>
      <w:pPr>
        <w:pStyle w:val="BodyText"/>
      </w:pPr>
      <w:r>
        <w:t xml:space="preserve">[2] S. Bi, K. Li, S. Hu, W. Ni, C. Wang, and X. Wang, “Detection and Mitigation of Position Spoofing Attacks on Cooperative UAV Swarm Formations,” IEEE Trans. Inf. Forensics Secur.,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 Wirel. Commun.,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 Inf. Forensics Secur., vol. 19, pp. 6824–6839, 2024, doi: 10.1109/TIFS.2024.3423428.</w:t>
      </w:r>
    </w:p>
    <w:p>
      <w:pPr>
        <w:pStyle w:val="BodyText"/>
      </w:pPr>
      <w:r>
        <w:t xml:space="preserve">[9] C. Greco, P. Pace, S. Basagni, and G. Fortino, “Jamming Detection at the Edge of Drone Networks Using Multi-layer Perceptrons and Decision Trees,” Appl. Soft Comput.,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 Mob. Comput., vol. 23, no. 12, pp. 13358–13374, 2024, doi: 10.1109/TMC.2024.3432491.</w:t>
      </w:r>
    </w:p>
    <w:p>
      <w:pPr>
        <w:pStyle w:val="BodyText"/>
      </w:pPr>
      <w:r>
        <w:t xml:space="preserve">[11] Z. Yu, Z. Wang, J. Yu, D. Liu, H. H. Song, and Z. Li, “Cybersecurity of Unmanned Aerial Vehicles: A Survey,” IEEE Aerosp. Electron. Syst. Mag., vol. 39, no. 9, pp. 182–215, 2024, doi: 10.1109/MAES.2023.3318226.</w:t>
      </w:r>
    </w:p>
    <w:p>
      <w:pPr>
        <w:pStyle w:val="BodyText"/>
      </w:pPr>
      <w:r>
        <w:t xml:space="preserve">[12] Y. Mekdad, A. Aris, L. Babun, A. El Fergougui, M. Conti, R. Lazzeretti, et al., “A Survey on Security and Privacy Issues of UAVs,” Comput. Netw., vol. 224, article 109626, 2023, doi: 10.1016/j.comnet.2023.109626.</w:t>
      </w:r>
    </w:p>
    <w:p>
      <w:pPr>
        <w:pStyle w:val="BodyText"/>
      </w:pPr>
      <w:r>
        <w:t xml:space="preserve">[13] Z. Wang, K. Han, Y. Yang, and W. Tian, “A Survey on Cybersecurity Attacks and Defenses for Unmanned Aerial Systems,” J. Syst. Archit., vol. 138, article 102870, 2023, doi: 10.1016/j.sysarc.2023.102870.</w:t>
      </w:r>
    </w:p>
    <w:p>
      <w:pPr>
        <w:pStyle w:val="BodyText"/>
      </w:pPr>
      <w:r>
        <w:t xml:space="preserve">[14] N. Bai, S. Wang, T. Zhang, N. N. Xiong, and S. Li, “A Survey on Unmanned Aerial Systems Cybersecurity,” J. Syst. Archit., vol. 156, article 103282, 2024, doi: 10.1016/j.sysarc.2024.103282.</w:t>
      </w:r>
    </w:p>
    <w:p>
      <w:pPr>
        <w:pStyle w:val="BodyText"/>
      </w:pPr>
      <w:r>
        <w:t xml:space="preserve">[15] R. Sarenche, F. Aghili, T. Yoshizawa, and D. Singelée, “DASLog: Decentralized Auditable Secure Logging for UAV Ecosystems,” IEEE Internet Things J., vol. 10, no. 23, pp. 20264–20284, 2023, doi: 10.1109/JIOT.2023.3281263.</w:t>
      </w:r>
    </w:p>
    <w:p>
      <w:pPr>
        <w:pStyle w:val="BodyText"/>
      </w:pPr>
      <w:r>
        <w:t xml:space="preserve">[16] R. Karmakar, G. Kaddoum, and O. Akhrif, “A Blockchain-Based Distributed and Intelligent Clustering-Enabled Authentication Protocol for UAV Swarms,” IEEE Trans. Mob. Comput., vol. 23, no. 5, pp. 6178–6195, 2024, doi: 10.1109/TMC.2023.3319544.</w:t>
      </w:r>
    </w:p>
    <w:p>
      <w:pPr>
        <w:pStyle w:val="BodyText"/>
      </w:pPr>
      <w:r>
        <w:t xml:space="preserve">[17] R. Xiong, Q. Xiao, Z. Wang, Z. Xu, and F. Shan, “Leveraging Lightweight Blockchain for Secure Collaborative Computing in UAV Ad-Hoc Networks,” Comput. Netw.,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 Sel. Areas Commun., vol. 40, no. 12, pp. 3470–3484, 2022, doi: 10.1109/JSAC.2022.3213360.</w:t>
      </w:r>
    </w:p>
    <w:p>
      <w:pPr>
        <w:pStyle w:val="BodyText"/>
      </w:pPr>
      <w:r>
        <w:t xml:space="preserve">[19] S. Hafeez, A. R. Khan, M. Al-Quraan, L. Mohjazi, A. Zoha, M. A. Imran, et al., “Blockchain-Assisted UAV Communication Systems: A Comprehensive Survey,” IEEE Open J. Veh. Technol., vol. 4, pp. 558–580, 2023, doi: 10.1109/OJVT.2023.3295208.</w:t>
      </w:r>
    </w:p>
    <w:p>
      <w:pPr>
        <w:pStyle w:val="BodyText"/>
      </w:pPr>
      <w:r>
        <w:t xml:space="preserve">[20] L. Liu and J. Yang, “A Dynamic Mission Abort Policy for the Swarm Executing Missions and Its Solution Method by Tailored Deep Reinforcement Learning,” Reliab. Eng. Syst. Saf., vol. 234, article 109149, 2023, doi: 10.1016/j.ress.2023.109149.</w:t>
      </w:r>
    </w:p>
    <w:p>
      <w:pPr>
        <w:pStyle w:val="BodyText"/>
      </w:pPr>
      <w:r>
        <w:t xml:space="preserve">[21] X. Zhou, Y. Huang, G. Bai, B. Xu, and J. Tao, “The Resilience Evaluation of Unmanned Autonomous Swarm with Informed Agents under Partial Failure,” Reliab. Eng. Syst. Saf., vol. 244, article 109920, 2024, doi: 10.1016/j.ress.2023.109920.</w:t>
      </w:r>
    </w:p>
    <w:p>
      <w:pPr>
        <w:pStyle w:val="BodyText"/>
      </w:pPr>
      <w:r>
        <w:t xml:space="preserve">[22] T. Liu, G. Bai, J. Tao, Y.-A. Zhang, and Y. Fang, “A Multistate Network Approach for Resilience Analysis of UAV Swarm Considering Information Exchange Capacity,” Reliab. Eng. Syst. Saf.,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 Eng. Syst. Saf., vol. 242, article 109749, 2024, doi: 10.1016/j.ress.2023.109749.</w:t>
      </w:r>
    </w:p>
    <w:p>
      <w:pPr>
        <w:pStyle w:val="BodyText"/>
      </w:pPr>
      <w:r>
        <w:t xml:space="preserve">[24] C. Zhang, T. Liu, G. Bai, J. Tao, and W. Zhu, “A Dynamic Resilience Evaluation Method for Cross-Domain Swarms in Confrontation,” Reliab. Eng. Syst. Saf., vol. 244, article 109904, 2024, doi: 10.1016/j.ress.2023.109904.</w:t>
      </w:r>
    </w:p>
    <w:p>
      <w:pPr>
        <w:pStyle w:val="BodyText"/>
      </w:pPr>
      <w:r>
        <w:t xml:space="preserve">[25] S. C. Hassler, U. A. Mughal, and M. Ismail, “Cyber-Physical Intrusion Detection System for Unmanned Aerial Vehicles,” IEEE Trans. Intell. Transp. Syst., vol. 25, no. 6, pp. 6106–6117, 2024, doi: 10.1109/TITS.2023.3339728.</w:t>
      </w:r>
    </w:p>
    <w:p>
      <w:pPr>
        <w:pStyle w:val="BodyText"/>
      </w:pPr>
      <w:r>
        <w:t xml:space="preserve">[26] H. J. Hadi, Y. Cao, S. Li, Y. Hu, J. Wang, and S. Wang, “Real-Time Collaborative Intrusion Detection System in UAV Networks Using Deep Learning,” IEEE Internet Things J., vol. 11, no. 20, pp. 33371–33391, 2024, doi: 10.1109/JIOT.2024.3426511.</w:t>
      </w:r>
    </w:p>
    <w:p>
      <w:pPr>
        <w:pStyle w:val="BodyText"/>
      </w:pPr>
      <w:r>
        <w:t xml:space="preserve">[27] R. A. AL-Syouf, R. M. Bani-Hani, and O. Y. AL-Jarrah, “Machine Learning Approaches to Intrusion Detection in Unmanned Aerial Vehicles (UAVs),” Neural Comput. Appl., vol. 36, no. 29, pp. 18009–18041, 2024, doi: 10.1007/s00521-024-10306-y.</w:t>
      </w:r>
    </w:p>
    <w:p>
      <w:pPr>
        <w:pStyle w:val="BodyText"/>
      </w:pPr>
      <w:r>
        <w:t xml:space="preserve">[28] J. Medhi, R. Liu, Q. Wang, and X. Chen, “A Lightweight and Efficient Intrusion Detection System (IDS) for Unmanned Aerial Vehicles,” Neural Comput. Appl., vol. 37, no. 20, pp. 15819–15836, 2025, doi: 10.1007/s00521-025-11276-5.</w:t>
      </w:r>
    </w:p>
    <w:p>
      <w:pPr>
        <w:pStyle w:val="BodyText"/>
      </w:pPr>
      <w:r>
        <w:t xml:space="preserve">[29] Y. Luo, Y. Xiao, L. Cheng, G. Peng, and D. Yao, “Deep Learning-Based Anomaly Detection in Cyber-Physical Systems: Progress and Opportunities,” ACM Comput. Surv.,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 Veh. Technol.,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 Green Commun. Netw., vol. 8, no. 4, pp. 1796–1808, 2024, doi: 10.1109/TGCN.2024.3373886.</w:t>
      </w:r>
    </w:p>
    <w:p>
      <w:pPr>
        <w:pStyle w:val="BodyText"/>
      </w:pPr>
      <w:r>
        <w:t xml:space="preserve">[32] Y. Su, N. Qi, Z. Huang, R. Yao, and L. Jia, “Cooperative Anti-Jamming and Interference Mitigation for UAV Networks: A Local Altruistic Game Approach,” China Commun.,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 Veh. Technol., vol. 74, pp. 7351–7363, 2025, doi: 10.1109/TVT.2025.3529036.</w:t>
      </w:r>
    </w:p>
    <w:p>
      <w:pPr>
        <w:pStyle w:val="BodyText"/>
      </w:pPr>
      <w:r>
        <w:t xml:space="preserve">[34] X. Ma, M. Gao, Y. Zhao, and M. Yu, “A Novel Navigation Spoofing Algorithm for UAV Based on GPS/INS-Integrated Navigation,” IEEE Trans. Veh. Technol.,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et al., “GNSS-Denied Unmanned Aerial Vehicle Navigation: Analyzing Computational Complexity, Sensor Fusion, and Localization Methodologies,” Satell. Navig., vol. 6, article 9, 2025, doi: 10.1186/s43020-025-00162-z.</w:t>
      </w:r>
    </w:p>
    <w:p>
      <w:pPr>
        <w:pStyle w:val="BodyText"/>
      </w:pPr>
      <w:r>
        <w:t xml:space="preserve">[37] C. Meng, Q. Hu, S. S. Ge, and D. Li, “Trusted Multisource Fusion Navigation for UAV Under GNSS Interference and Spoofing Attacks,” IEEE/ASME Trans. Mechatron., vol. 30, no. 6, pp. 4165–4175, 2025, doi: 10.1109/TMECH.2025.3570315.</w:t>
      </w:r>
    </w:p>
    <w:p>
      <w:pPr>
        <w:pStyle w:val="BodyText"/>
      </w:pPr>
      <w:r>
        <w:t xml:space="preserve">[38] Y. Zeng, Z. Lu, X. Zhao, Z. Xiao, S. Ni, Z. Han, et al., “GNSS Jamming and Spoofing Threats in UAV Navigation: Countermeasure Status and Challenges,” IEEE Commun. Surv. Tutor., vol. 28, pp. 5909–5948, 2025, doi: 10.1109/COMST.2026.3680438.</w:t>
      </w:r>
    </w:p>
    <w:p>
      <w:pPr>
        <w:pStyle w:val="BodyText"/>
      </w:pPr>
      <w:r>
        <w:t xml:space="preserve">[39] B. Zhao, M. Huo, Z. Li, W. Feng, Z. Yu, N. Qi, and S. Wang, “Graph-Based Multi-Agent Reinforcement Learning for Collaborative Search and Tracking of Multiple UAVs,” Chin. J. Aeronaut.,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 J. Aeronaut., vol. 37, no. 6, pp. 182–204, 2024, doi: 10.1016/j.cja.2023.12.027.</w:t>
      </w:r>
    </w:p>
    <w:p>
      <w:pPr>
        <w:pStyle w:val="BodyText"/>
      </w:pPr>
      <w:r>
        <w:t xml:space="preserve">[41] D. Liu, L. Dou, R. Zhang, X. Zhang, and Q. Zong, “Multi-Agent Reinforcement Learning-Based Coordinated Dynamic Task Allocation for Heterogeneous UAVs,” IEEE Trans. Veh. Technol.,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 J. Aeronaut., article 103846, 2025, doi: 10.1016/j.cja.2025.103846.</w:t>
      </w:r>
    </w:p>
    <w:p>
      <w:pPr>
        <w:pStyle w:val="BodyText"/>
      </w:pPr>
      <w:r>
        <w:t xml:space="preserve">[43] X. Wang, Z. Zhao, L. Yi, Z. Ning, L. Guo, F. R. Yu, and S. Guo, “A Survey on Security of UAV Swarm Networks: Attacks and Countermeasures,” ACM Comput. Surv., vol. 57, no. 3, article 74, pp. 1–37, 2024, doi: 10.1145/3703625.</w:t>
      </w:r>
    </w:p>
    <w:p>
      <w:pPr>
        <w:pStyle w:val="BodyText"/>
      </w:pPr>
      <w:r>
        <w:t xml:space="preserve">[44] E. Glaessgen and D. Stargel,</w:t>
      </w:r>
      <w:r>
        <w:t xml:space="preserve"> </w:t>
      </w:r>
      <w:r>
        <w:t xml:space="preserve">“The Digital Twin Paradigm for Future NASA and U.S. Air Force Vehicles,”</w:t>
      </w:r>
      <w:r>
        <w:t xml:space="preserve"> </w:t>
      </w:r>
      <w:r>
        <w:t xml:space="preserve">in Proc. 53rd AIAA/ASME/ASCE/AHS/ASC Struct., Struct. Dyn. Mater. Conf., 2012, doi: 10.2514/6.2012-1818.</w:t>
      </w:r>
    </w:p>
    <w:p>
      <w:pPr>
        <w:pStyle w:val="BodyText"/>
      </w:pPr>
      <w:r>
        <w:t xml:space="preserve">[45] A. Rasheed, O. San, and T. Kvamsdal,</w:t>
      </w:r>
      <w:r>
        <w:t xml:space="preserve"> </w:t>
      </w:r>
      <w:r>
        <w:t xml:space="preserve">“Digital Twin: Values, Challenges and Enablers From a Modeling Perspective,”</w:t>
      </w:r>
      <w:r>
        <w:t xml:space="preserve"> </w:t>
      </w:r>
      <w:r>
        <w:t xml:space="preserve">IEEE Access, vol. 8, pp. 21980–22012, 2020, doi: 10.1109/ACCESS.2020.2970143.</w:t>
      </w:r>
    </w:p>
    <w:p>
      <w:pPr>
        <w:pStyle w:val="BodyText"/>
      </w:pPr>
      <w:r>
        <w:t xml:space="preserve">[46] M. Eckhart and A. Ekelhart,</w:t>
      </w:r>
      <w:r>
        <w:t xml:space="preserve"> </w:t>
      </w:r>
      <w:r>
        <w:t xml:space="preserve">“A Specification-Based State Replication Approach for Digital Twins,”</w:t>
      </w:r>
      <w:r>
        <w:t xml:space="preserve"> </w:t>
      </w:r>
      <w:r>
        <w:t xml:space="preserve">in Proc. ACM Workshop Cyber-Phys. Syst. Secur. Privacy (CPSS), 2018, pp. 36–47, doi: 10.1145/3264888.3264892.</w:t>
      </w:r>
    </w:p>
    <w:p>
      <w:pPr>
        <w:pStyle w:val="BodyText"/>
      </w:pPr>
      <w:r>
        <w:t xml:space="preserve">[47] D. Dolev and A. C. Yao,</w:t>
      </w:r>
      <w:r>
        <w:t xml:space="preserve"> </w:t>
      </w:r>
      <w:r>
        <w:t xml:space="preserve">“On the Security of Public Key Protocols,”</w:t>
      </w:r>
      <w:r>
        <w:t xml:space="preserve"> </w:t>
      </w:r>
      <w:r>
        <w:t xml:space="preserve">IEEE Trans. Inf. Theory, vol. 29, no. 2, pp. 198–208, 1983, doi: 10.1109/TIT.1983.1056650.,</w:t>
      </w:r>
      <w:r>
        <w:t xml:space="preserve"> </w:t>
      </w:r>
      <w:r>
        <w:t xml:space="preserve">“A Specification-Based State Replication Approach for Digital Twins,”</w:t>
      </w:r>
      <w:r>
        <w:t xml:space="preserve"> </w:t>
      </w:r>
      <w:r>
        <w:t xml:space="preserve">in Proc. ACM Workshop Cyber-Phys. Syst. Secur. Privacy (CPSS), 2018, pp. 36–47, doi: 10.1145/3264888.3264892.</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9" Target="media/rId169.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10" Target="media/rId110.png" /><Relationship Type="http://schemas.openxmlformats.org/officeDocument/2006/relationships/image" Id="rId145" Target="media/rId145.png" /><Relationship Type="http://schemas.openxmlformats.org/officeDocument/2006/relationships/image" Id="rId136" Target="media/rId136.png" /><Relationship Type="http://schemas.openxmlformats.org/officeDocument/2006/relationships/image" Id="rId130" Target="media/rId130.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79" Target="media/rId179.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33" Target="media/rId1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2026-06-05T13:25:22Z</dcterms:created>
  <dcterms:modified xsi:type="dcterms:W3CDTF">2026-06-05T13:25:22Z</dcterms:modified>
</cp:coreProperties>
</file>

<file path=docProps/custom.xml><?xml version="1.0" encoding="utf-8"?>
<Properties xmlns="http://schemas.openxmlformats.org/officeDocument/2006/custom-properties" xmlns:vt="http://schemas.openxmlformats.org/officeDocument/2006/docPropsVTypes"/>
</file>