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5.svg" ContentType="image/svg+xml"/>
  <Override PartName="/word/media/rId134.svg" ContentType="image/svg+xml"/>
  <Override PartName="/word/media/rId131.svg" ContentType="image/svg+xml"/>
  <Override PartName="/word/media/rId122.svg" ContentType="image/svg+xml"/>
  <Override PartName="/word/media/rId119.svg" ContentType="image/svg+xml"/>
  <Override PartName="/word/media/rId128.svg" ContentType="image/svg+xml"/>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tion"/>
    <w:p>
      <w:pPr>
        <w:pStyle w:val="Heading1"/>
      </w:pP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section-1"/>
    <w:p>
      <w:pPr>
        <w:pStyle w:val="Heading2"/>
      </w:pP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85.70%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v4 evaluation is conducted using synthetic multi-UAV telemetry data. The physics-based v4 dataset contains 90,000 sampled telemetry rows and 82,875 time-series windows, with 20 telemetry steps per window and 9 raw non-leakage features per step. The classifier excludes derived Mission Assurance Index and component scores from attack-detection inputs to avoid leakage. Across eight mission-state classes, the best macro-F1 model, Binary GRU achieved 95.77% accuracy and 95.77% macro F1-score for attack-versus-normal mission assurance classification, while the fine-grained Weighted GRU achieved 75.36% accuracy and 60.07% macro F1-score across eight mission-state classes. The best classical baseline, Gradient Boosting achieved 76.99% accuracy and 60.40% macro F1-score among the classical baselines.</w:t>
      </w:r>
    </w:p>
    <w:p>
      <w:pPr>
        <w:pStyle w:val="BodyText"/>
      </w:pPr>
      <w:r>
        <w:t xml:space="preserve">Mission-level evaluation shows that full RA-MARS achieved a Mission Assurance Index of 0.7497 and a mission success rate of 85.70% under stressed attack scenarios. With PGD-augmented adversarial training, the binary classifier achieved 99.86% clean macro-F1, 99.75% macro-F1 under FGSM at ε=0.01, and 98.31% macro-F1 under PGD at ε=0.05. Ablation analysis confirmed that removing core mission-assurance components reduced mission performance. Latency-budget analysis showed that RA-MARS added only 11.5 ms of framework overhead per telemetry cycle.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was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was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used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4-prior-work-comparison"/>
    <w:p>
      <w:pPr>
        <w:pStyle w:val="Heading2"/>
      </w:pPr>
      <w:r>
        <w:t xml:space="preserve">v4 Prior Work Comparison</w:t>
      </w:r>
    </w:p>
    <w:bookmarkStart w:id="84" w:name="X90147a236e1e5fcb8e36b91ccd672e7d8eab3e7"/>
    <w:p>
      <w:pPr>
        <w:pStyle w:val="Heading3"/>
      </w:pPr>
      <w:r>
        <w:t xml:space="preserve">Table: Comparison of RA-MARS v4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v4</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section-2"/>
    <w:p>
      <w:pPr>
        <w:pStyle w:val="Heading2"/>
      </w:pPr>
    </w:p>
    <w:bookmarkEnd w:id="86"/>
    <w:bookmarkStart w:id="87"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4-digital-twin-action-selection-example"/>
    <w:p>
      <w:pPr>
        <w:pStyle w:val="Heading2"/>
      </w:pPr>
      <w:r>
        <w:t xml:space="preserve">v4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section-3"/>
    <w:p>
      <w:pPr>
        <w:pStyle w:val="Heading2"/>
      </w:pP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4-results-and-discussion"/>
    <w:p>
      <w:pPr>
        <w:pStyle w:val="Heading1"/>
      </w:pPr>
      <w:r>
        <w:t xml:space="preserve">v4 Results and Discussion</w:t>
      </w:r>
    </w:p>
    <w:bookmarkStart w:id="94"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4-temporal-attack-detection-results"/>
    <w:p>
      <w:pPr>
        <w:pStyle w:val="Heading2"/>
      </w:pPr>
      <w:r>
        <w:t xml:space="preserve">v4 Temporal Attack-Detection Results</w:t>
      </w:r>
    </w:p>
    <w:p>
      <w:pPr>
        <w:pStyle w:val="FirstParagraph"/>
      </w:pPr>
      <w:r>
        <w:t xml:space="preserve">The v4 model evaluation compares classical baselines, binary LSTM/GRU models, and fine-grained weighted sequence models. For binary attack-versus-normal mission assurance classification, the Binary GRU achieved 95.77% accuracy and 95.77% macro F1-score. For fine-grained eight-class mission-state classification, the Weighted GRU achieved 75.36% accuracy and 60.07% macro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95"/>
    <w:bookmarkStart w:id="96" w:name="v4-mission-assurance-results"/>
    <w:p>
      <w:pPr>
        <w:pStyle w:val="Heading2"/>
      </w:pPr>
      <w:r>
        <w:t xml:space="preserve">v4 Mission Assurance Results</w:t>
      </w:r>
    </w:p>
    <w:p>
      <w:pPr>
        <w:pStyle w:val="FirstParagraph"/>
      </w:pPr>
      <w:r>
        <w:t xml:space="preserve">Full RA-MARS achieved a Mission Assurance Index of 0.7497 and a mission success rate of 85.70%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9" w:name="section-4"/>
    <w:p>
      <w:pPr>
        <w:pStyle w:val="Heading1"/>
      </w:pPr>
    </w:p>
    <w:bookmarkStart w:id="104"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00"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00"/>
    <w:bookmarkStart w:id="101"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01"/>
    <w:bookmarkStart w:id="102"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02"/>
    <w:bookmarkStart w:id="103"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03"/>
    <w:bookmarkEnd w:id="104"/>
    <w:bookmarkStart w:id="105"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Validation Layer</w:t>
            </w:r>
          </w:p>
        </w:tc>
        <w:tc>
          <w:tcPr/>
          <w:p>
            <w:pPr>
              <w:pStyle w:val="Compact"/>
            </w:pPr>
            <w:r>
              <w:t xml:space="preserve">Data or Telemetry Source</w:t>
            </w:r>
          </w:p>
        </w:tc>
        <w:tc>
          <w:tcPr/>
          <w:p>
            <w:pPr>
              <w:pStyle w:val="Compact"/>
            </w:pPr>
            <w:r>
              <w:t xml:space="preserve">Attack Conditions</w:t>
            </w:r>
          </w:p>
        </w:tc>
        <w:tc>
          <w:tcPr/>
          <w:p>
            <w:pPr>
              <w:pStyle w:val="Compact"/>
            </w:pPr>
            <w:r>
              <w:t xml:space="preserve">Main Outputs</w:t>
            </w:r>
          </w:p>
        </w:tc>
        <w:tc>
          <w:tcPr/>
          <w:p>
            <w:pPr>
              <w:pStyle w:val="Compact"/>
            </w:pPr>
            <w:r>
              <w:t xml:space="preserve">Claim Supported</w:t>
            </w:r>
          </w:p>
        </w:tc>
      </w:tr>
      <w:tr>
        <w:tc>
          <w:tcPr/>
          <w:p>
            <w:pPr>
              <w:pStyle w:val="Compact"/>
            </w:pPr>
            <w:r>
              <w:t xml:space="preserve">Synthetic v4 simulation</w:t>
            </w:r>
          </w:p>
        </w:tc>
        <w:tc>
          <w:tcPr/>
          <w:p>
            <w:pPr>
              <w:pStyle w:val="Compact"/>
            </w:pPr>
            <w:r>
              <w:t xml:space="preserve">90,000 sampled multi-UAV telemetry rows and 82,875 temporal windows</w:t>
            </w:r>
          </w:p>
        </w:tc>
        <w:tc>
          <w:tcPr/>
          <w:p>
            <w:pPr>
              <w:pStyle w:val="Compact"/>
            </w:pPr>
            <w:r>
              <w:t xml:space="preserve">Jamming, spoofing, tampering, combined attacks</w:t>
            </w:r>
          </w:p>
        </w:tc>
        <w:tc>
          <w:tcPr/>
          <w:p>
            <w:pPr>
              <w:pStyle w:val="Compact"/>
            </w:pPr>
            <w:r>
              <w:t xml:space="preserve">Attack detection, Mission Assurance Index, ablation, scalability, attack-intensity results</w:t>
            </w:r>
          </w:p>
        </w:tc>
        <w:tc>
          <w:tcPr/>
          <w:p>
            <w:pPr>
              <w:pStyle w:val="Compact"/>
            </w:pPr>
            <w:r>
              <w:t xml:space="preserve">Statistical mission-assurance evaluation under controlled synthetic conditions</w:t>
            </w:r>
          </w:p>
        </w:tc>
      </w:tr>
      <w:tr>
        <w:tc>
          <w:tcPr/>
          <w:p>
            <w:pPr>
              <w:pStyle w:val="Compact"/>
            </w:pPr>
            <w:r>
              <w:t xml:space="preserve">PX4-style MAVLink telemetry emulation</w:t>
            </w:r>
          </w:p>
        </w:tc>
        <w:tc>
          <w:tcPr/>
          <w:p>
            <w:pPr>
              <w:pStyle w:val="Compact"/>
            </w:pPr>
            <w:r>
              <w:t xml:space="preserve">1,800 PX4-style telemetry records from three UAVs</w:t>
            </w:r>
          </w:p>
        </w:tc>
        <w:tc>
          <w:tcPr/>
          <w:p>
            <w:pPr>
              <w:pStyle w:val="Compact"/>
            </w:pPr>
            <w:r>
              <w:t xml:space="preserve">Packet-loss/latency degradation, GPS drift/jump, log tampering, combined interval</w:t>
            </w:r>
          </w:p>
        </w:tc>
        <w:tc>
          <w:tcPr/>
          <w:p>
            <w:pPr>
              <w:pStyle w:val="Compact"/>
            </w:pPr>
            <w:r>
              <w:t xml:space="preserve">Mission Assurance Index, action selection, packet delivery ratio, route deviation, tamper mismatch detection</w:t>
            </w:r>
          </w:p>
        </w:tc>
        <w:tc>
          <w:tcPr/>
          <w:p>
            <w:pPr>
              <w:pStyle w:val="Compact"/>
            </w:pPr>
            <w:r>
              <w:t xml:space="preserve">Engineering plausibility for processing simulator-style UAV telemetry</w:t>
            </w:r>
          </w:p>
        </w:tc>
      </w:tr>
      <w:tr>
        <w:tc>
          <w:tcPr/>
          <w:p>
            <w:pPr>
              <w:pStyle w:val="Compact"/>
            </w:pPr>
            <w:r>
              <w:t xml:space="preserve">Future PX4/Gazebo SITL validation</w:t>
            </w:r>
          </w:p>
        </w:tc>
        <w:tc>
          <w:tcPr/>
          <w:p>
            <w:pPr>
              <w:pStyle w:val="Compact"/>
            </w:pPr>
            <w:r>
              <w:t xml:space="preserve">Real PX4/Gazebo software-in-the-loop MAVLink logs</w:t>
            </w:r>
          </w:p>
        </w:tc>
        <w:tc>
          <w:tcPr/>
          <w:p>
            <w:pPr>
              <w:pStyle w:val="Compact"/>
            </w:pPr>
            <w:r>
              <w:t xml:space="preserve">Software-emulated packet loss, GPS drift, and mission-log tampering</w:t>
            </w:r>
          </w:p>
        </w:tc>
        <w:tc>
          <w:tcPr/>
          <w:p>
            <w:pPr>
              <w:pStyle w:val="Compact"/>
            </w:pPr>
            <w:r>
              <w:t xml:space="preserve">End-to-end simulator validation with autopilot-generated telemetry</w:t>
            </w:r>
          </w:p>
        </w:tc>
        <w:tc>
          <w:tcPr/>
          <w:p>
            <w:pPr>
              <w:pStyle w:val="Compact"/>
            </w:pPr>
            <w:r>
              <w:t xml:space="preserve">Future work toward stronger UAV simulator validation</w:t>
            </w:r>
          </w:p>
        </w:tc>
      </w:tr>
      <w:tr>
        <w:tc>
          <w:tcPr/>
          <w:p>
            <w:pPr>
              <w:pStyle w:val="Compact"/>
            </w:pPr>
            <w:r>
              <w:t xml:space="preserve">Future hardware-in-the-loop or UAV testbed</w:t>
            </w:r>
          </w:p>
        </w:tc>
        <w:tc>
          <w:tcPr/>
          <w:p>
            <w:pPr>
              <w:pStyle w:val="Compact"/>
            </w:pPr>
            <w:r>
              <w:t xml:space="preserve">Physical UAV platform or hardware-in-the-loop setup</w:t>
            </w:r>
          </w:p>
        </w:tc>
        <w:tc>
          <w:tcPr/>
          <w:p>
            <w:pPr>
              <w:pStyle w:val="Compact"/>
            </w:pPr>
            <w:r>
              <w:t xml:space="preserve">Safe controlled degradation and mission-recovery scenarios</w:t>
            </w:r>
          </w:p>
        </w:tc>
        <w:tc>
          <w:tcPr/>
          <w:p>
            <w:pPr>
              <w:pStyle w:val="Compact"/>
            </w:pPr>
            <w:r>
              <w:t xml:space="preserve">Real-time latency, recovery behavior, operator interpretation, mission performance</w:t>
            </w:r>
          </w:p>
        </w:tc>
        <w:tc>
          <w:tcPr/>
          <w:p>
            <w:pPr>
              <w:pStyle w:val="Compac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05"/>
    <w:bookmarkStart w:id="106"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06"/>
    <w:bookmarkStart w:id="107"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7"/>
    <w:bookmarkStart w:id="108"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8"/>
    <w:bookmarkEnd w:id="109"/>
    <w:bookmarkStart w:id="110"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physics-based v4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Across eight mission-state classes, the best macro-F1 model, Binary GRU achieved 95.77% accuracy and 95.77% macro F1-score for attack-versus-normal mission assurance classification, while the fine-grained Weighted GRU achieved 75.36% accuracy and 60.07% macro F1-score across eight mission-state classes. The Gradient Boosting classical baseline achieved 76.99% accuracy and 60.40% macro F1-score.</w:t>
      </w:r>
    </w:p>
    <w:p>
      <w:pPr>
        <w:pStyle w:val="BodyText"/>
      </w:pPr>
      <w:r>
        <w:t xml:space="preserve">At the mission level, full RA-MARS achieved a Mission Assurance Index of 0.7497 and a mission success rate of 85.70%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10"/>
    <w:bookmarkStart w:id="111"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are available in the project repository: https://github.com/drsaikrishnathota1/ra-mars-defence-technology.</w:t>
      </w:r>
    </w:p>
    <w:bookmarkEnd w:id="111"/>
    <w:bookmarkStart w:id="112"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is available in the project repository: https://github.com/drsaikrishnathota1/ra-mars-defence-technology.</w:t>
      </w:r>
    </w:p>
    <w:bookmarkEnd w:id="112"/>
    <w:bookmarkStart w:id="118"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16" w:name="figures"/>
    <w:p>
      <w:pPr>
        <w:pStyle w:val="Heading2"/>
      </w:pPr>
      <w:r>
        <w:t xml:space="preserve">Figures</w:t>
      </w:r>
    </w:p>
    <w:p>
      <w:pPr>
        <w:pStyle w:val="CaptionedFigure"/>
      </w:pPr>
      <w:r>
        <w:drawing>
          <wp:inline>
            <wp:extent cx="5334000" cy="2872153"/>
            <wp:effectExtent b="0" l="0" r="0" t="0"/>
            <wp:docPr descr="Figure 2. RA-MARS threat model for cyber-electromagnetic and navigation attacks." title="" id="114" name="Picture"/>
            <a:graphic>
              <a:graphicData uri="http://schemas.openxmlformats.org/drawingml/2006/picture">
                <pic:pic>
                  <pic:nvPicPr>
                    <pic:cNvPr descr="../figures/threat-model/final/ra_mars_threat_model.png" id="115" name="Picture"/>
                    <pic:cNvPicPr>
                      <a:picLocks noChangeArrowheads="1" noChangeAspect="1"/>
                    </pic:cNvPicPr>
                  </pic:nvPicPr>
                  <pic:blipFill>
                    <a:blip r:embed="rId113"/>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16"/>
    <w:bookmarkStart w:id="117"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 doi: 10.1016/j.asoc.2021.107806.</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 doi: 10.1109/TVT.2023.3333054.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 doi: 10.23919/JCC.fa.2021-0759.202402.</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17"/>
    <w:bookmarkEnd w:id="118"/>
    <w:bookmarkStart w:id="137" w:name="v4-figure-links"/>
    <w:p>
      <w:pPr>
        <w:pStyle w:val="Heading1"/>
      </w:pPr>
      <w:r>
        <w:t xml:space="preserve">v4 Figure Links</w:t>
      </w:r>
    </w:p>
    <w:p>
      <w:pPr>
        <w:pStyle w:val="CaptionedFigure"/>
      </w:pPr>
      <w:r>
        <w:drawing>
          <wp:inline>
            <wp:extent cx="5334000" cy="3151909"/>
            <wp:effectExtent b="0" l="0" r="0" t="0"/>
            <wp:docPr descr="Figure 1. RA-MARS v4 model macro-F1 comparison." title="" id="120" name="Picture"/>
            <a:graphic>
              <a:graphicData uri="http://schemas.openxmlformats.org/drawingml/2006/picture">
                <pic:pic>
                  <pic:nvPicPr>
                    <pic:cNvPr descr="../figures/graphs/v4/figure_v4_model_f1_comparison.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1. RA-MARS v4 model macro-F1 comparison.</w:t>
      </w:r>
    </w:p>
    <w:p>
      <w:pPr>
        <w:pStyle w:val="CaptionedFigure"/>
      </w:pPr>
      <w:r>
        <w:drawing>
          <wp:inline>
            <wp:extent cx="5334000" cy="3151909"/>
            <wp:effectExtent b="0" l="0" r="0" t="0"/>
            <wp:docPr descr="Figure 2. RA-MARS v4 mission success by scenario." title="" id="123" name="Picture"/>
            <a:graphic>
              <a:graphicData uri="http://schemas.openxmlformats.org/drawingml/2006/picture">
                <pic:pic>
                  <pic:nvPicPr>
                    <pic:cNvPr descr="../figures/graphs/v4/figure_v4_mission_success_by_scenari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2. RA-MARS v4 mission success by scenario.</w:t>
      </w:r>
    </w:p>
    <w:p>
      <w:pPr>
        <w:pStyle w:val="CaptionedFigure"/>
      </w:pPr>
      <w:r>
        <w:drawing>
          <wp:inline>
            <wp:extent cx="5334000" cy="3151909"/>
            <wp:effectExtent b="0" l="0" r="0" t="0"/>
            <wp:docPr descr="Figure 3. RA-MARS v4 ablation study for mission success." title="" id="126" name="Picture"/>
            <a:graphic>
              <a:graphicData uri="http://schemas.openxmlformats.org/drawingml/2006/picture">
                <pic:pic>
                  <pic:nvPicPr>
                    <pic:cNvPr descr="../figures/graphs/v4/figure_v4_ablation_mission_success.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3. RA-MARS v4 ablation study for mission success.</w:t>
      </w:r>
    </w:p>
    <w:p>
      <w:pPr>
        <w:pStyle w:val="CaptionedFigure"/>
      </w:pPr>
      <w:r>
        <w:drawing>
          <wp:inline>
            <wp:extent cx="5334000" cy="3151909"/>
            <wp:effectExtent b="0" l="0" r="0" t="0"/>
            <wp:docPr descr="Figure 4. RA-MARS v4 RF/SINR validation summary." title="" id="129" name="Picture"/>
            <a:graphic>
              <a:graphicData uri="http://schemas.openxmlformats.org/drawingml/2006/picture">
                <pic:pic>
                  <pic:nvPicPr>
                    <pic:cNvPr descr="../figures/graphs/v4/figure_v4_rf_sinr_validation.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4. RA-MARS v4 RF/SINR validation summary.</w:t>
      </w:r>
    </w:p>
    <w:p>
      <w:pPr>
        <w:pStyle w:val="CaptionedFigure"/>
      </w:pPr>
      <w:r>
        <w:drawing>
          <wp:inline>
            <wp:extent cx="5334000" cy="3151909"/>
            <wp:effectExtent b="0" l="0" r="0" t="0"/>
            <wp:docPr descr="Figure 5. RA-MARS v4 detection-delay analysis." title="" id="132" name="Picture"/>
            <a:graphic>
              <a:graphicData uri="http://schemas.openxmlformats.org/drawingml/2006/picture">
                <pic:pic>
                  <pic:nvPicPr>
                    <pic:cNvPr descr="../figures/graphs/v4/figure_v4_detection_dela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5. RA-MARS v4 detection-delay analysis.</w:t>
      </w:r>
    </w:p>
    <w:p>
      <w:pPr>
        <w:pStyle w:val="CaptionedFigure"/>
      </w:pPr>
      <w:r>
        <w:drawing>
          <wp:inline>
            <wp:extent cx="5334000" cy="3151909"/>
            <wp:effectExtent b="0" l="0" r="0" t="0"/>
            <wp:docPr descr="Figure 6. RA-MARS v4 adversarial training robustness." title="" id="135" name="Picture"/>
            <a:graphic>
              <a:graphicData uri="http://schemas.openxmlformats.org/drawingml/2006/picture">
                <pic:pic>
                  <pic:nvPicPr>
                    <pic:cNvPr descr="../figures/graphs/v4/figure_v4_adversarial_training_robustness.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Figure 6. RA-MARS v4 adversarial training robustness.</w:t>
      </w:r>
    </w:p>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5" Target="media/rId125.svg" /><Relationship Type="http://schemas.openxmlformats.org/officeDocument/2006/relationships/image" Id="rId134" Target="media/rId134.svg" /><Relationship Type="http://schemas.openxmlformats.org/officeDocument/2006/relationships/image" Id="rId131" Target="media/rId131.svg" /><Relationship Type="http://schemas.openxmlformats.org/officeDocument/2006/relationships/image" Id="rId122" Target="media/rId122.svg" /><Relationship Type="http://schemas.openxmlformats.org/officeDocument/2006/relationships/image" Id="rId119" Target="media/rId119.svg" /><Relationship Type="http://schemas.openxmlformats.org/officeDocument/2006/relationships/image" Id="rId128" Target="media/rId128.sv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2026-06-08T03:24:47Z</dcterms:created>
  <dcterms:modified xsi:type="dcterms:W3CDTF">2026-06-08T03:24:47Z</dcterms:modified>
</cp:coreProperties>
</file>

<file path=docProps/custom.xml><?xml version="1.0" encoding="utf-8"?>
<Properties xmlns="http://schemas.openxmlformats.org/officeDocument/2006/custom-properties" xmlns:vt="http://schemas.openxmlformats.org/officeDocument/2006/docPropsVTypes"/>
</file>