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35.png" ContentType="image/png"/>
  <Override PartName="/word/media/rId126.png" ContentType="image/png"/>
  <Override PartName="/word/media/rId120.png" ContentType="image/png"/>
  <Override PartName="/word/media/rId132.png" ContentType="image/png"/>
  <Override PartName="/word/media/rId129.png" ContentType="image/png"/>
  <Override PartName="/word/media/rId163.png" ContentType="image/png"/>
  <Override PartName="/word/media/rId160.png" ContentType="image/png"/>
  <Override PartName="/word/media/rId157.png" ContentType="image/png"/>
  <Override PartName="/word/media/rId166.png" ContentType="image/png"/>
  <Override PartName="/word/media/rId117.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a-mars-journal-manuscript-draft"/>
    <w:p>
      <w:pPr>
        <w:pStyle w:val="Heading1"/>
      </w:pPr>
      <w:r>
        <w:t xml:space="preserve">RA-MARS Journal Manuscript Draft</w:t>
      </w:r>
    </w:p>
    <w:bookmarkStart w:id="20"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Dr. Sai Krishna Thota</w:t>
      </w:r>
    </w:p>
    <w:bookmarkEnd w:id="21"/>
    <w:bookmarkStart w:id="22" w:name="target-journal"/>
    <w:p>
      <w:pPr>
        <w:pStyle w:val="Heading2"/>
      </w:pPr>
      <w:r>
        <w:t xml:space="preserve">Target Journal</w:t>
      </w:r>
    </w:p>
    <w:p>
      <w:pPr>
        <w:pStyle w:val="FirstParagraph"/>
      </w:pPr>
      <w:r>
        <w:t xml:space="preserve">Defence Technology</w:t>
      </w: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78.25% mission success under stressed attack scenarios using synthetic simulation data.</w:t>
      </w:r>
    </w:p>
    <w:bookmarkEnd w:id="23"/>
    <w:bookmarkEnd w:id="24"/>
    <w:bookmarkStart w:id="26"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57.02% macro F1-score under realistic eight-class temporal conditions.</w:t>
      </w:r>
    </w:p>
    <w:p>
      <w:pPr>
        <w:pStyle w:val="BodyText"/>
      </w:pPr>
      <w:r>
        <w:t xml:space="preserve">At the mission level, full RA-MARS achieved a Mission Assurance Index of 0.7291 ± 0.0057 and a mission success rate of 78.25 ± 0.46% under stressed attack scenarios. Ablation analysis shows that removing any single core component reduced mission success by 12–16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9"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34"/>
    <w:bookmarkStart w:id="35"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35"/>
    <w:bookmarkStart w:id="36"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6"/>
    <w:bookmarkStart w:id="37"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7"/>
    <w:bookmarkStart w:id="38"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38"/>
    <w:bookmarkEnd w:id="39"/>
    <w:bookmarkStart w:id="59" w:name="system-model-and-threat-model"/>
    <w:p>
      <w:pPr>
        <w:pStyle w:val="Heading1"/>
      </w:pPr>
      <w:r>
        <w:t xml:space="preserve">System Model and Threat Model</w:t>
      </w:r>
    </w:p>
    <w:bookmarkStart w:id="40"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40"/>
    <w:bookmarkStart w:id="41"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1"/>
    <w:bookmarkStart w:id="42"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2"/>
    <w:bookmarkStart w:id="43"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3"/>
    <w:bookmarkStart w:id="44"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4"/>
    <w:bookmarkStart w:id="45"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5"/>
    <w:bookmarkStart w:id="48"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6"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6"/>
    <w:bookmarkStart w:id="47"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7"/>
    <w:bookmarkEnd w:id="48"/>
    <w:bookmarkStart w:id="51" w:name="gpsgnss-spoofing-attack"/>
    <w:p>
      <w:pPr>
        <w:pStyle w:val="Heading2"/>
      </w:pPr>
      <w:r>
        <w:t xml:space="preserve">GPS/GNSS Spoofing Attack</w:t>
      </w:r>
    </w:p>
    <w:p>
      <w:pPr>
        <w:pStyle w:val="FirstParagraph"/>
      </w:pPr>
      <w:r>
        <w:t xml:space="preserve">GPS/GNSS spoofing targets UAV navigation and positioning trustworthiness.</w:t>
      </w:r>
    </w:p>
    <w:bookmarkStart w:id="49"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9"/>
    <w:bookmarkStart w:id="50"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50"/>
    <w:bookmarkEnd w:id="51"/>
    <w:bookmarkStart w:id="54"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2"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2"/>
    <w:bookmarkStart w:id="53"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3"/>
    <w:bookmarkEnd w:id="54"/>
    <w:bookmarkStart w:id="55"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5"/>
    <w:bookmarkStart w:id="56"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6"/>
    <w:bookmarkStart w:id="57" w:name="limitations"/>
    <w:p>
      <w:pPr>
        <w:pStyle w:val="Heading2"/>
      </w:pPr>
      <w:r>
        <w:t xml:space="preserve">Limitations</w:t>
      </w:r>
    </w:p>
    <w:p>
      <w:pPr>
        <w:pStyle w:val="FirstParagraph"/>
      </w:pPr>
      <w:r>
        <w:t xml:space="preserve">The threat model does not currently include:</w:t>
      </w:r>
    </w:p>
    <w:p>
      <w:pPr>
        <w:numPr>
          <w:ilvl w:val="0"/>
          <w:numId w:val="1012"/>
        </w:numPr>
        <w:pStyle w:val="Compact"/>
      </w:pPr>
      <w:r>
        <w:t xml:space="preserve">physical UAV capture</w:t>
      </w:r>
    </w:p>
    <w:p>
      <w:pPr>
        <w:numPr>
          <w:ilvl w:val="0"/>
          <w:numId w:val="1012"/>
        </w:numPr>
        <w:pStyle w:val="Compact"/>
      </w:pPr>
      <w:r>
        <w:t xml:space="preserve">insider attacks</w:t>
      </w:r>
    </w:p>
    <w:p>
      <w:pPr>
        <w:numPr>
          <w:ilvl w:val="0"/>
          <w:numId w:val="1012"/>
        </w:numPr>
        <w:pStyle w:val="Compact"/>
      </w:pPr>
      <w:r>
        <w:t xml:space="preserve">malware inside UAV firmware</w:t>
      </w:r>
    </w:p>
    <w:p>
      <w:pPr>
        <w:numPr>
          <w:ilvl w:val="0"/>
          <w:numId w:val="1012"/>
        </w:numPr>
        <w:pStyle w:val="Compact"/>
      </w:pPr>
      <w:r>
        <w:t xml:space="preserve">advanced adversarial attacks on onboard perception models</w:t>
      </w:r>
    </w:p>
    <w:p>
      <w:pPr>
        <w:numPr>
          <w:ilvl w:val="0"/>
          <w:numId w:val="1012"/>
        </w:numPr>
        <w:pStyle w:val="Compact"/>
      </w:pPr>
      <w:r>
        <w:t xml:space="preserve">real RF hardware-level jamming experiments</w:t>
      </w:r>
    </w:p>
    <w:p>
      <w:pPr>
        <w:numPr>
          <w:ilvl w:val="0"/>
          <w:numId w:val="1012"/>
        </w:numPr>
        <w:pStyle w:val="Compact"/>
      </w:pPr>
      <w:r>
        <w:t xml:space="preserve">real UAV flight testing</w:t>
      </w:r>
    </w:p>
    <w:p>
      <w:pPr>
        <w:numPr>
          <w:ilvl w:val="0"/>
          <w:numId w:val="1012"/>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57"/>
    <w:bookmarkStart w:id="58"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3"/>
        </w:numPr>
        <w:pStyle w:val="Compact"/>
      </w:pPr>
      <w:r>
        <w:t xml:space="preserve">Detect abnormal communication, navigation, and log-integrity patterns.</w:t>
      </w:r>
    </w:p>
    <w:p>
      <w:pPr>
        <w:numPr>
          <w:ilvl w:val="0"/>
          <w:numId w:val="1013"/>
        </w:numPr>
        <w:pStyle w:val="Compact"/>
      </w:pPr>
      <w:r>
        <w:t xml:space="preserve">Estimate mission risk under adversarial conditions.</w:t>
      </w:r>
    </w:p>
    <w:p>
      <w:pPr>
        <w:numPr>
          <w:ilvl w:val="0"/>
          <w:numId w:val="1013"/>
        </w:numPr>
        <w:pStyle w:val="Compact"/>
      </w:pPr>
      <w:r>
        <w:t xml:space="preserve">Support adaptive mission continuation when UAVs are degraded.</w:t>
      </w:r>
    </w:p>
    <w:p>
      <w:pPr>
        <w:numPr>
          <w:ilvl w:val="0"/>
          <w:numId w:val="1013"/>
        </w:numPr>
        <w:pStyle w:val="Compact"/>
      </w:pPr>
      <w:r>
        <w:t xml:space="preserve">Preserve tamper-resistant mission records.</w:t>
      </w:r>
    </w:p>
    <w:p>
      <w:pPr>
        <w:numPr>
          <w:ilvl w:val="0"/>
          <w:numId w:val="1013"/>
        </w:numPr>
        <w:pStyle w:val="Compact"/>
      </w:pPr>
      <w:r>
        <w:t xml:space="preserve">Improve mission success under jamming, spoofing, and data-tampering attacks.</w:t>
      </w:r>
    </w:p>
    <w:p>
      <w:pPr>
        <w:numPr>
          <w:ilvl w:val="0"/>
          <w:numId w:val="1013"/>
        </w:numPr>
        <w:pStyle w:val="Compact"/>
      </w:pPr>
      <w:r>
        <w:t xml:space="preserve">Evaluate resilience using mission-level metrics, not only attack-detection accuracy.</w:t>
      </w:r>
    </w:p>
    <w:p>
      <w:r>
        <w:pict>
          <v:rect style="width:0;height:1.5pt" o:hralign="center" o:hrstd="t" o:hr="t"/>
        </w:pict>
      </w:r>
    </w:p>
    <w:bookmarkEnd w:id="58"/>
    <w:bookmarkEnd w:id="59"/>
    <w:bookmarkStart w:id="76" w:name="methodology"/>
    <w:p>
      <w:pPr>
        <w:pStyle w:val="Heading1"/>
      </w:pPr>
      <w:r>
        <w:t xml:space="preserve">Methodology</w:t>
      </w:r>
    </w:p>
    <w:bookmarkStart w:id="60"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4"/>
        </w:numPr>
        <w:pStyle w:val="Compact"/>
      </w:pPr>
      <w:r>
        <w:t xml:space="preserve">AI-based attack detection</w:t>
      </w:r>
    </w:p>
    <w:p>
      <w:pPr>
        <w:numPr>
          <w:ilvl w:val="0"/>
          <w:numId w:val="1014"/>
        </w:numPr>
        <w:pStyle w:val="Compact"/>
      </w:pPr>
      <w:r>
        <w:t xml:space="preserve">Mission-risk scoring</w:t>
      </w:r>
    </w:p>
    <w:p>
      <w:pPr>
        <w:numPr>
          <w:ilvl w:val="0"/>
          <w:numId w:val="1014"/>
        </w:numPr>
        <w:pStyle w:val="Compact"/>
      </w:pPr>
      <w:r>
        <w:t xml:space="preserve">Adaptive mission-continuation logic</w:t>
      </w:r>
    </w:p>
    <w:p>
      <w:pPr>
        <w:numPr>
          <w:ilvl w:val="0"/>
          <w:numId w:val="1014"/>
        </w:numPr>
        <w:pStyle w:val="Compact"/>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0"/>
    <w:bookmarkStart w:id="61" w:name="system-architecture"/>
    <w:p>
      <w:pPr>
        <w:pStyle w:val="Heading2"/>
      </w:pPr>
      <w:r>
        <w:t xml:space="preserve">System Architecture</w:t>
      </w:r>
    </w:p>
    <w:p>
      <w:pPr>
        <w:pStyle w:val="FirstParagraph"/>
      </w:pPr>
      <w:r>
        <w:t xml:space="preserve">The RA-MARS architecture includes the following components:</w:t>
      </w:r>
    </w:p>
    <w:p>
      <w:pPr>
        <w:numPr>
          <w:ilvl w:val="0"/>
          <w:numId w:val="1015"/>
        </w:numPr>
        <w:pStyle w:val="Compact"/>
      </w:pPr>
      <w:r>
        <w:t xml:space="preserve">Multi-UAV surveillance layer</w:t>
      </w:r>
    </w:p>
    <w:p>
      <w:pPr>
        <w:numPr>
          <w:ilvl w:val="0"/>
          <w:numId w:val="1015"/>
        </w:numPr>
        <w:pStyle w:val="Compact"/>
      </w:pPr>
      <w:r>
        <w:t xml:space="preserve">Ground control station</w:t>
      </w:r>
    </w:p>
    <w:p>
      <w:pPr>
        <w:numPr>
          <w:ilvl w:val="0"/>
          <w:numId w:val="1015"/>
        </w:numPr>
        <w:pStyle w:val="Compact"/>
      </w:pPr>
      <w:r>
        <w:t xml:space="preserve">Telemetry and communication layer</w:t>
      </w:r>
    </w:p>
    <w:p>
      <w:pPr>
        <w:numPr>
          <w:ilvl w:val="0"/>
          <w:numId w:val="1015"/>
        </w:numPr>
        <w:pStyle w:val="Compact"/>
      </w:pPr>
      <w:r>
        <w:t xml:space="preserve">AI-based anomaly detection module</w:t>
      </w:r>
    </w:p>
    <w:p>
      <w:pPr>
        <w:numPr>
          <w:ilvl w:val="0"/>
          <w:numId w:val="1015"/>
        </w:numPr>
        <w:pStyle w:val="Compact"/>
      </w:pPr>
      <w:r>
        <w:t xml:space="preserve">Mission-risk scoring module</w:t>
      </w:r>
    </w:p>
    <w:p>
      <w:pPr>
        <w:numPr>
          <w:ilvl w:val="0"/>
          <w:numId w:val="1015"/>
        </w:numPr>
        <w:pStyle w:val="Compact"/>
      </w:pPr>
      <w:r>
        <w:t xml:space="preserve">Adaptive mission-continuation module</w:t>
      </w:r>
    </w:p>
    <w:p>
      <w:pPr>
        <w:numPr>
          <w:ilvl w:val="0"/>
          <w:numId w:val="1015"/>
        </w:numPr>
        <w:pStyle w:val="Compact"/>
      </w:pPr>
      <w:r>
        <w:t xml:space="preserve">Tamper-resistant logging module</w:t>
      </w:r>
    </w:p>
    <w:p>
      <w:pPr>
        <w:numPr>
          <w:ilvl w:val="0"/>
          <w:numId w:val="1015"/>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1"/>
    <w:bookmarkStart w:id="62"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2"/>
    <w:bookmarkStart w:id="66"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classifies mission states as normal or attacked based on the UAV telemetry and mission-status features described below.</w:t>
      </w:r>
    </w:p>
    <w:bookmarkStart w:id="63" w:name="input-features"/>
    <w:p>
      <w:pPr>
        <w:pStyle w:val="Heading3"/>
      </w:pPr>
      <w:r>
        <w:t xml:space="preserve">Input Features</w:t>
      </w:r>
    </w:p>
    <w:p>
      <w:pPr>
        <w:pStyle w:val="FirstParagraph"/>
      </w:pPr>
      <w:r>
        <w:t xml:space="preserve">The detection module uses the following features:</w:t>
      </w:r>
    </w:p>
    <w:p>
      <w:pPr>
        <w:numPr>
          <w:ilvl w:val="0"/>
          <w:numId w:val="1016"/>
        </w:numPr>
        <w:pStyle w:val="Compact"/>
      </w:pPr>
      <w:r>
        <w:t xml:space="preserve">Packet delivery ratio</w:t>
      </w:r>
    </w:p>
    <w:p>
      <w:pPr>
        <w:numPr>
          <w:ilvl w:val="0"/>
          <w:numId w:val="1016"/>
        </w:numPr>
        <w:pStyle w:val="Compact"/>
      </w:pPr>
      <w:r>
        <w:t xml:space="preserve">Average communication latency</w:t>
      </w:r>
    </w:p>
    <w:p>
      <w:pPr>
        <w:numPr>
          <w:ilvl w:val="0"/>
          <w:numId w:val="1016"/>
        </w:numPr>
        <w:pStyle w:val="Compact"/>
      </w:pPr>
      <w:r>
        <w:t xml:space="preserve">GPS position change</w:t>
      </w:r>
    </w:p>
    <w:p>
      <w:pPr>
        <w:numPr>
          <w:ilvl w:val="0"/>
          <w:numId w:val="1016"/>
        </w:numPr>
        <w:pStyle w:val="Compact"/>
      </w:pPr>
      <w:r>
        <w:t xml:space="preserve">Velocity consistency</w:t>
      </w:r>
    </w:p>
    <w:p>
      <w:pPr>
        <w:numPr>
          <w:ilvl w:val="0"/>
          <w:numId w:val="1016"/>
        </w:numPr>
        <w:pStyle w:val="Compact"/>
      </w:pPr>
      <w:r>
        <w:t xml:space="preserve">Route deviation</w:t>
      </w:r>
    </w:p>
    <w:p>
      <w:pPr>
        <w:numPr>
          <w:ilvl w:val="0"/>
          <w:numId w:val="1016"/>
        </w:numPr>
        <w:pStyle w:val="Compact"/>
      </w:pPr>
      <w:r>
        <w:t xml:space="preserve">Battery drain rate</w:t>
      </w:r>
    </w:p>
    <w:p>
      <w:pPr>
        <w:numPr>
          <w:ilvl w:val="0"/>
          <w:numId w:val="1016"/>
        </w:numPr>
        <w:pStyle w:val="Compact"/>
      </w:pPr>
      <w:r>
        <w:t xml:space="preserve">Mission progress rate</w:t>
      </w:r>
    </w:p>
    <w:p>
      <w:pPr>
        <w:numPr>
          <w:ilvl w:val="0"/>
          <w:numId w:val="1016"/>
        </w:numPr>
        <w:pStyle w:val="Compact"/>
      </w:pPr>
      <w:r>
        <w:t xml:space="preserve">Log integrity status</w:t>
      </w:r>
    </w:p>
    <w:bookmarkEnd w:id="63"/>
    <w:bookmarkStart w:id="64" w:name="output-classes"/>
    <w:p>
      <w:pPr>
        <w:pStyle w:val="Heading3"/>
      </w:pPr>
      <w:r>
        <w:t xml:space="preserve">Output Classes</w:t>
      </w:r>
    </w:p>
    <w:p>
      <w:pPr>
        <w:pStyle w:val="FirstParagraph"/>
      </w:pPr>
      <w:r>
        <w:t xml:space="preserve">The model may classify mission states into the following classes:</w:t>
      </w:r>
    </w:p>
    <w:p>
      <w:pPr>
        <w:numPr>
          <w:ilvl w:val="0"/>
          <w:numId w:val="1017"/>
        </w:numPr>
        <w:pStyle w:val="Compact"/>
      </w:pPr>
      <w:r>
        <w:t xml:space="preserve">Normal</w:t>
      </w:r>
    </w:p>
    <w:p>
      <w:pPr>
        <w:numPr>
          <w:ilvl w:val="0"/>
          <w:numId w:val="1017"/>
        </w:numPr>
        <w:pStyle w:val="Compact"/>
      </w:pPr>
      <w:r>
        <w:t xml:space="preserve">Jamming</w:t>
      </w:r>
    </w:p>
    <w:p>
      <w:pPr>
        <w:numPr>
          <w:ilvl w:val="0"/>
          <w:numId w:val="1017"/>
        </w:numPr>
        <w:pStyle w:val="Compact"/>
      </w:pPr>
      <w:r>
        <w:t xml:space="preserve">GPS spoofing</w:t>
      </w:r>
    </w:p>
    <w:p>
      <w:pPr>
        <w:numPr>
          <w:ilvl w:val="0"/>
          <w:numId w:val="1017"/>
        </w:numPr>
        <w:pStyle w:val="Compact"/>
      </w:pPr>
      <w:r>
        <w:t xml:space="preserve">Data tampering</w:t>
      </w:r>
    </w:p>
    <w:p>
      <w:pPr>
        <w:numPr>
          <w:ilvl w:val="0"/>
          <w:numId w:val="1017"/>
        </w:numPr>
        <w:pStyle w:val="Compact"/>
      </w:pPr>
      <w:r>
        <w:t xml:space="preserve">Combined attack</w:t>
      </w:r>
    </w:p>
    <w:bookmarkEnd w:id="64"/>
    <w:bookmarkStart w:id="65" w:name="candidate-models"/>
    <w:p>
      <w:pPr>
        <w:pStyle w:val="Heading3"/>
      </w:pPr>
      <w:r>
        <w:t xml:space="preserve">Candidate Models</w:t>
      </w:r>
    </w:p>
    <w:p>
      <w:pPr>
        <w:pStyle w:val="FirstParagraph"/>
      </w:pPr>
      <w:r>
        <w:t xml:space="preserve">The following machine-learning models were evaluated:</w:t>
      </w:r>
    </w:p>
    <w:p>
      <w:pPr>
        <w:numPr>
          <w:ilvl w:val="0"/>
          <w:numId w:val="1018"/>
        </w:numPr>
        <w:pStyle w:val="Compact"/>
      </w:pPr>
      <w:r>
        <w:t xml:space="preserve">Logistic Regression</w:t>
      </w:r>
    </w:p>
    <w:p>
      <w:pPr>
        <w:numPr>
          <w:ilvl w:val="0"/>
          <w:numId w:val="1018"/>
        </w:numPr>
        <w:pStyle w:val="Compact"/>
      </w:pPr>
      <w:r>
        <w:t xml:space="preserve">Support Vector Machine</w:t>
      </w:r>
    </w:p>
    <w:p>
      <w:pPr>
        <w:numPr>
          <w:ilvl w:val="0"/>
          <w:numId w:val="1018"/>
        </w:numPr>
        <w:pStyle w:val="Compact"/>
      </w:pPr>
      <w:r>
        <w:t xml:space="preserve">Random Forest</w:t>
      </w:r>
    </w:p>
    <w:p>
      <w:pPr>
        <w:numPr>
          <w:ilvl w:val="0"/>
          <w:numId w:val="1018"/>
        </w:numPr>
        <w:pStyle w:val="Compact"/>
      </w:pPr>
      <w:r>
        <w:t xml:space="preserve">Gradient Boosting or XGBoost</w:t>
      </w:r>
    </w:p>
    <w:p>
      <w:pPr>
        <w:numPr>
          <w:ilvl w:val="0"/>
          <w:numId w:val="1018"/>
        </w:numPr>
        <w:pStyle w:val="Compact"/>
      </w:pPr>
      <w:r>
        <w:t xml:space="preserve">Lightweight Neural Network</w:t>
      </w:r>
    </w:p>
    <w:p>
      <w:pPr>
        <w:pStyle w:val="FirstParagraph"/>
      </w:pPr>
      <w:r>
        <w:t xml:space="preserve">The best-performing model can be selected based on accuracy, precision, recall, and F1-score.</w:t>
      </w:r>
    </w:p>
    <w:bookmarkEnd w:id="65"/>
    <w:bookmarkEnd w:id="66"/>
    <w:bookmarkStart w:id="6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67"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v3 evaluation, equal weights (α = β = γ = δ = ε = 0.20) were used as a baseline configuration. Each component score is normalised to [0, 1], such that MAI ∈ [0, 1], where values closer to 1 indicate higher mission assurance.</w:t>
      </w:r>
    </w:p>
    <w:bookmarkEnd w:id="67"/>
    <w:bookmarkStart w:id="68"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v3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68"/>
    <w:bookmarkEnd w:id="69"/>
    <w:bookmarkStart w:id="7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19"/>
        </w:numPr>
        <w:pStyle w:val="Compact"/>
      </w:pPr>
      <w:r>
        <w:t xml:space="preserve">Continue normal operation</w:t>
      </w:r>
    </w:p>
    <w:p>
      <w:pPr>
        <w:numPr>
          <w:ilvl w:val="0"/>
          <w:numId w:val="1019"/>
        </w:numPr>
        <w:pStyle w:val="Compact"/>
      </w:pPr>
      <w:r>
        <w:t xml:space="preserve">Increase monitoring frequency</w:t>
      </w:r>
    </w:p>
    <w:p>
      <w:pPr>
        <w:numPr>
          <w:ilvl w:val="0"/>
          <w:numId w:val="1019"/>
        </w:numPr>
        <w:pStyle w:val="Compact"/>
      </w:pPr>
      <w:r>
        <w:t xml:space="preserve">Reassign affected mission zones to nearby UAVs</w:t>
      </w:r>
    </w:p>
    <w:p>
      <w:pPr>
        <w:numPr>
          <w:ilvl w:val="0"/>
          <w:numId w:val="1019"/>
        </w:numPr>
        <w:pStyle w:val="Compact"/>
      </w:pPr>
      <w:r>
        <w:t xml:space="preserve">Reroute UAVs around high-risk zones</w:t>
      </w:r>
    </w:p>
    <w:p>
      <w:pPr>
        <w:numPr>
          <w:ilvl w:val="0"/>
          <w:numId w:val="1019"/>
        </w:numPr>
        <w:pStyle w:val="Compact"/>
      </w:pPr>
      <w:r>
        <w:t xml:space="preserve">Reduce dependence on affected UAVs</w:t>
      </w:r>
    </w:p>
    <w:p>
      <w:pPr>
        <w:numPr>
          <w:ilvl w:val="0"/>
          <w:numId w:val="1019"/>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0"/>
    <w:bookmarkStart w:id="7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0"/>
        </w:numPr>
        <w:pStyle w:val="Compact"/>
      </w:pPr>
      <w:r>
        <w:t xml:space="preserve">UAV ID</w:t>
      </w:r>
    </w:p>
    <w:p>
      <w:pPr>
        <w:numPr>
          <w:ilvl w:val="0"/>
          <w:numId w:val="1020"/>
        </w:numPr>
        <w:pStyle w:val="Compact"/>
      </w:pPr>
      <w:r>
        <w:t xml:space="preserve">Timestamp</w:t>
      </w:r>
    </w:p>
    <w:p>
      <w:pPr>
        <w:numPr>
          <w:ilvl w:val="0"/>
          <w:numId w:val="1020"/>
        </w:numPr>
        <w:pStyle w:val="Compact"/>
      </w:pPr>
      <w:r>
        <w:t xml:space="preserve">Location</w:t>
      </w:r>
    </w:p>
    <w:p>
      <w:pPr>
        <w:numPr>
          <w:ilvl w:val="0"/>
          <w:numId w:val="1020"/>
        </w:numPr>
        <w:pStyle w:val="Compact"/>
      </w:pPr>
      <w:r>
        <w:t xml:space="preserve">Mission-zone status</w:t>
      </w:r>
    </w:p>
    <w:p>
      <w:pPr>
        <w:numPr>
          <w:ilvl w:val="0"/>
          <w:numId w:val="1020"/>
        </w:numPr>
        <w:pStyle w:val="Compact"/>
      </w:pPr>
      <w:r>
        <w:t xml:space="preserve">Communication status</w:t>
      </w:r>
    </w:p>
    <w:p>
      <w:pPr>
        <w:numPr>
          <w:ilvl w:val="0"/>
          <w:numId w:val="1020"/>
        </w:numPr>
        <w:pStyle w:val="Compact"/>
      </w:pPr>
      <w:r>
        <w:t xml:space="preserve">Attack detection status</w:t>
      </w:r>
    </w:p>
    <w:p>
      <w:pPr>
        <w:numPr>
          <w:ilvl w:val="0"/>
          <w:numId w:val="1020"/>
        </w:numPr>
        <w:pStyle w:val="Compact"/>
      </w:pPr>
      <w:r>
        <w:t xml:space="preserve">Risk score</w:t>
      </w:r>
    </w:p>
    <w:p>
      <w:pPr>
        <w:numPr>
          <w:ilvl w:val="0"/>
          <w:numId w:val="1020"/>
        </w:numPr>
        <w:pStyle w:val="Compact"/>
      </w:pPr>
      <w:r>
        <w:t xml:space="preserve">Previous record hash</w:t>
      </w:r>
    </w:p>
    <w:p>
      <w:pPr>
        <w:numPr>
          <w:ilvl w:val="0"/>
          <w:numId w:val="1020"/>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1"/>
    <w:bookmarkStart w:id="72" w:name="ra-mars-workflow"/>
    <w:p>
      <w:pPr>
        <w:pStyle w:val="Heading2"/>
      </w:pPr>
      <w:r>
        <w:t xml:space="preserve">RA-MARS Workflow</w:t>
      </w:r>
    </w:p>
    <w:p>
      <w:pPr>
        <w:pStyle w:val="FirstParagraph"/>
      </w:pPr>
      <w:r>
        <w:t xml:space="preserve">The RA-MARS workflow follows these steps:</w:t>
      </w:r>
    </w:p>
    <w:p>
      <w:pPr>
        <w:numPr>
          <w:ilvl w:val="0"/>
          <w:numId w:val="1021"/>
        </w:numPr>
        <w:pStyle w:val="Compact"/>
      </w:pPr>
      <w:r>
        <w:t xml:space="preserve">UAVs collect telemetry and mission-status data.</w:t>
      </w:r>
    </w:p>
    <w:p>
      <w:pPr>
        <w:numPr>
          <w:ilvl w:val="0"/>
          <w:numId w:val="1021"/>
        </w:numPr>
        <w:pStyle w:val="Compact"/>
      </w:pPr>
      <w:r>
        <w:t xml:space="preserve">Telemetry is transmitted to the ground control station.</w:t>
      </w:r>
    </w:p>
    <w:p>
      <w:pPr>
        <w:numPr>
          <w:ilvl w:val="0"/>
          <w:numId w:val="1021"/>
        </w:numPr>
        <w:pStyle w:val="Compact"/>
      </w:pPr>
      <w:r>
        <w:t xml:space="preserve">The AI module evaluates whether the mission state is normal or attacked.</w:t>
      </w:r>
    </w:p>
    <w:p>
      <w:pPr>
        <w:numPr>
          <w:ilvl w:val="0"/>
          <w:numId w:val="1021"/>
        </w:numPr>
        <w:pStyle w:val="Compact"/>
      </w:pPr>
      <w:r>
        <w:t xml:space="preserve">The mission-risk scoring module calculates the risk level.</w:t>
      </w:r>
    </w:p>
    <w:p>
      <w:pPr>
        <w:numPr>
          <w:ilvl w:val="0"/>
          <w:numId w:val="1021"/>
        </w:numPr>
        <w:pStyle w:val="Compact"/>
      </w:pPr>
      <w:r>
        <w:t xml:space="preserve">The adaptive mission-continuation module selects an appropriate response.</w:t>
      </w:r>
    </w:p>
    <w:p>
      <w:pPr>
        <w:numPr>
          <w:ilvl w:val="0"/>
          <w:numId w:val="1021"/>
        </w:numPr>
        <w:pStyle w:val="Compact"/>
      </w:pPr>
      <w:r>
        <w:t xml:space="preserve">Mission records are stored using tamper-resistant logging.</w:t>
      </w:r>
    </w:p>
    <w:p>
      <w:pPr>
        <w:numPr>
          <w:ilvl w:val="0"/>
          <w:numId w:val="1021"/>
        </w:numPr>
        <w:pStyle w:val="Compact"/>
      </w:pPr>
      <w:r>
        <w:t xml:space="preserve">Performance metrics are calculated for evaluation.</w:t>
      </w:r>
    </w:p>
    <w:bookmarkEnd w:id="72"/>
    <w:bookmarkStart w:id="73" w:name="evaluation-strategy"/>
    <w:p>
      <w:pPr>
        <w:pStyle w:val="Heading2"/>
      </w:pPr>
      <w:r>
        <w:t xml:space="preserve">Evaluation Strategy</w:t>
      </w:r>
    </w:p>
    <w:p>
      <w:pPr>
        <w:pStyle w:val="FirstParagraph"/>
      </w:pPr>
      <w:r>
        <w:t xml:space="preserve">RA-MARS was evaluated under five scenarios:</w:t>
      </w:r>
    </w:p>
    <w:p>
      <w:pPr>
        <w:numPr>
          <w:ilvl w:val="0"/>
          <w:numId w:val="1022"/>
        </w:numPr>
        <w:pStyle w:val="Compact"/>
      </w:pPr>
      <w:r>
        <w:t xml:space="preserve">Normal operation</w:t>
      </w:r>
    </w:p>
    <w:p>
      <w:pPr>
        <w:numPr>
          <w:ilvl w:val="0"/>
          <w:numId w:val="1022"/>
        </w:numPr>
        <w:pStyle w:val="Compact"/>
      </w:pPr>
      <w:r>
        <w:t xml:space="preserve">RF jamming attack</w:t>
      </w:r>
    </w:p>
    <w:p>
      <w:pPr>
        <w:numPr>
          <w:ilvl w:val="0"/>
          <w:numId w:val="1022"/>
        </w:numPr>
        <w:pStyle w:val="Compact"/>
      </w:pPr>
      <w:r>
        <w:t xml:space="preserve">GPS spoofing attack</w:t>
      </w:r>
    </w:p>
    <w:p>
      <w:pPr>
        <w:numPr>
          <w:ilvl w:val="0"/>
          <w:numId w:val="1022"/>
        </w:numPr>
        <w:pStyle w:val="Compact"/>
      </w:pPr>
      <w:r>
        <w:t xml:space="preserve">Data-tampering attack</w:t>
      </w:r>
    </w:p>
    <w:p>
      <w:pPr>
        <w:numPr>
          <w:ilvl w:val="0"/>
          <w:numId w:val="1022"/>
        </w:numPr>
        <w:pStyle w:val="Compact"/>
      </w:pPr>
      <w:r>
        <w:t xml:space="preserve">Combined attack scenario</w:t>
      </w:r>
    </w:p>
    <w:p>
      <w:pPr>
        <w:pStyle w:val="FirstParagraph"/>
      </w:pPr>
      <w:r>
        <w:t xml:space="preserve">The framework was compared against:</w:t>
      </w:r>
    </w:p>
    <w:p>
      <w:pPr>
        <w:numPr>
          <w:ilvl w:val="0"/>
          <w:numId w:val="1023"/>
        </w:numPr>
        <w:pStyle w:val="Compact"/>
      </w:pPr>
      <w:r>
        <w:t xml:space="preserve">Conventional UAV system</w:t>
      </w:r>
    </w:p>
    <w:p>
      <w:pPr>
        <w:numPr>
          <w:ilvl w:val="0"/>
          <w:numId w:val="1023"/>
        </w:numPr>
        <w:pStyle w:val="Compact"/>
      </w:pPr>
      <w:r>
        <w:t xml:space="preserve">AI-only detection system</w:t>
      </w:r>
    </w:p>
    <w:p>
      <w:pPr>
        <w:numPr>
          <w:ilvl w:val="0"/>
          <w:numId w:val="1023"/>
        </w:numPr>
        <w:pStyle w:val="Compact"/>
      </w:pPr>
      <w:r>
        <w:t xml:space="preserve">Logging-only system</w:t>
      </w:r>
    </w:p>
    <w:p>
      <w:pPr>
        <w:numPr>
          <w:ilvl w:val="0"/>
          <w:numId w:val="1023"/>
        </w:numPr>
        <w:pStyle w:val="Compact"/>
      </w:pPr>
      <w:r>
        <w:t xml:space="preserve">Non-adaptive secure system</w:t>
      </w:r>
    </w:p>
    <w:p>
      <w:pPr>
        <w:numPr>
          <w:ilvl w:val="0"/>
          <w:numId w:val="1023"/>
        </w:numPr>
        <w:pStyle w:val="Compact"/>
      </w:pPr>
      <w:r>
        <w:t xml:space="preserve">Proposed RA-MARS framework</w:t>
      </w:r>
    </w:p>
    <w:bookmarkEnd w:id="73"/>
    <w:bookmarkStart w:id="74" w:name="evaluation-metrics"/>
    <w:p>
      <w:pPr>
        <w:pStyle w:val="Heading2"/>
      </w:pPr>
      <w:r>
        <w:t xml:space="preserve">Evaluation Metrics</w:t>
      </w:r>
    </w:p>
    <w:p>
      <w:pPr>
        <w:pStyle w:val="FirstParagraph"/>
      </w:pPr>
      <w:r>
        <w:t xml:space="preserve">The evaluation used the following metrics:</w:t>
      </w:r>
    </w:p>
    <w:p>
      <w:pPr>
        <w:numPr>
          <w:ilvl w:val="0"/>
          <w:numId w:val="1024"/>
        </w:numPr>
        <w:pStyle w:val="Compact"/>
      </w:pPr>
      <w:r>
        <w:t xml:space="preserve">Mission success rate</w:t>
      </w:r>
    </w:p>
    <w:p>
      <w:pPr>
        <w:numPr>
          <w:ilvl w:val="0"/>
          <w:numId w:val="1024"/>
        </w:numPr>
        <w:pStyle w:val="Compact"/>
      </w:pPr>
      <w:r>
        <w:t xml:space="preserve">Attack detection accuracy</w:t>
      </w:r>
    </w:p>
    <w:p>
      <w:pPr>
        <w:numPr>
          <w:ilvl w:val="0"/>
          <w:numId w:val="1024"/>
        </w:numPr>
        <w:pStyle w:val="Compact"/>
      </w:pPr>
      <w:r>
        <w:t xml:space="preserve">Precision</w:t>
      </w:r>
    </w:p>
    <w:p>
      <w:pPr>
        <w:numPr>
          <w:ilvl w:val="0"/>
          <w:numId w:val="1024"/>
        </w:numPr>
        <w:pStyle w:val="Compact"/>
      </w:pPr>
      <w:r>
        <w:t xml:space="preserve">Recall</w:t>
      </w:r>
    </w:p>
    <w:p>
      <w:pPr>
        <w:numPr>
          <w:ilvl w:val="0"/>
          <w:numId w:val="1024"/>
        </w:numPr>
        <w:pStyle w:val="Compact"/>
      </w:pPr>
      <w:r>
        <w:t xml:space="preserve">F1-score</w:t>
      </w:r>
    </w:p>
    <w:p>
      <w:pPr>
        <w:numPr>
          <w:ilvl w:val="0"/>
          <w:numId w:val="1024"/>
        </w:numPr>
        <w:pStyle w:val="Compact"/>
      </w:pPr>
      <w:r>
        <w:t xml:space="preserve">Packet delivery ratio</w:t>
      </w:r>
    </w:p>
    <w:p>
      <w:pPr>
        <w:numPr>
          <w:ilvl w:val="0"/>
          <w:numId w:val="1024"/>
        </w:numPr>
        <w:pStyle w:val="Compact"/>
      </w:pPr>
      <w:r>
        <w:t xml:space="preserve">Average latency</w:t>
      </w:r>
    </w:p>
    <w:p>
      <w:pPr>
        <w:numPr>
          <w:ilvl w:val="0"/>
          <w:numId w:val="1024"/>
        </w:numPr>
        <w:pStyle w:val="Compact"/>
      </w:pPr>
      <w:r>
        <w:t xml:space="preserve">Energy consumption</w:t>
      </w:r>
    </w:p>
    <w:p>
      <w:pPr>
        <w:numPr>
          <w:ilvl w:val="0"/>
          <w:numId w:val="1024"/>
        </w:numPr>
        <w:pStyle w:val="Compact"/>
      </w:pPr>
      <w:r>
        <w:t xml:space="preserve">Tamper-detection rate</w:t>
      </w:r>
    </w:p>
    <w:p>
      <w:pPr>
        <w:numPr>
          <w:ilvl w:val="0"/>
          <w:numId w:val="1024"/>
        </w:numPr>
        <w:pStyle w:val="Compact"/>
      </w:pPr>
      <w:r>
        <w:t xml:space="preserve">Mission recovery time</w:t>
      </w:r>
    </w:p>
    <w:bookmarkEnd w:id="74"/>
    <w:bookmarkStart w:id="7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5"/>
    <w:bookmarkEnd w:id="76"/>
    <w:bookmarkStart w:id="97" w:name="experimental-setup"/>
    <w:p>
      <w:pPr>
        <w:pStyle w:val="Heading1"/>
      </w:pPr>
      <w:r>
        <w:t xml:space="preserve">Experimental Setup</w:t>
      </w:r>
    </w:p>
    <w:bookmarkStart w:id="7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5"/>
        </w:numPr>
        <w:pStyle w:val="Compact"/>
      </w:pPr>
      <w:r>
        <w:t xml:space="preserve">Normal operation</w:t>
      </w:r>
    </w:p>
    <w:p>
      <w:pPr>
        <w:numPr>
          <w:ilvl w:val="0"/>
          <w:numId w:val="1025"/>
        </w:numPr>
        <w:pStyle w:val="Compact"/>
      </w:pPr>
      <w:r>
        <w:t xml:space="preserve">RF jamming attack</w:t>
      </w:r>
    </w:p>
    <w:p>
      <w:pPr>
        <w:numPr>
          <w:ilvl w:val="0"/>
          <w:numId w:val="1025"/>
        </w:numPr>
        <w:pStyle w:val="Compact"/>
      </w:pPr>
      <w:r>
        <w:t xml:space="preserve">GPS/GNSS spoofing attack</w:t>
      </w:r>
    </w:p>
    <w:p>
      <w:pPr>
        <w:numPr>
          <w:ilvl w:val="0"/>
          <w:numId w:val="1025"/>
        </w:numPr>
        <w:pStyle w:val="Compact"/>
      </w:pPr>
      <w:r>
        <w:t xml:space="preserve">Mission-data tampering attack</w:t>
      </w:r>
    </w:p>
    <w:p>
      <w:pPr>
        <w:numPr>
          <w:ilvl w:val="0"/>
          <w:numId w:val="1025"/>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77"/>
    <w:bookmarkStart w:id="7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78"/>
    <w:bookmarkStart w:id="7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6"/>
        </w:numPr>
        <w:pStyle w:val="Compact"/>
      </w:pPr>
      <w:r>
        <w:t xml:space="preserve">a 5 km × 5 km surveillance region</w:t>
      </w:r>
    </w:p>
    <w:p>
      <w:pPr>
        <w:numPr>
          <w:ilvl w:val="0"/>
          <w:numId w:val="1026"/>
        </w:numPr>
        <w:pStyle w:val="Compact"/>
      </w:pPr>
      <w:r>
        <w:t xml:space="preserve">25 grid-based mission zones</w:t>
      </w:r>
    </w:p>
    <w:p>
      <w:pPr>
        <w:numPr>
          <w:ilvl w:val="0"/>
          <w:numId w:val="1026"/>
        </w:numPr>
        <w:pStyle w:val="Compact"/>
      </w:pPr>
      <w:r>
        <w:t xml:space="preserve">10, 20, and 30 UAV configurations</w:t>
      </w:r>
    </w:p>
    <w:p>
      <w:pPr>
        <w:numPr>
          <w:ilvl w:val="0"/>
          <w:numId w:val="1026"/>
        </w:numPr>
        <w:pStyle w:val="Compact"/>
      </w:pPr>
      <w:r>
        <w:t xml:space="preserve">one ground control station</w:t>
      </w:r>
    </w:p>
    <w:p>
      <w:pPr>
        <w:numPr>
          <w:ilvl w:val="0"/>
          <w:numId w:val="1026"/>
        </w:numPr>
        <w:pStyle w:val="Compact"/>
      </w:pPr>
      <w:r>
        <w:t xml:space="preserve">periodic telemetry transmission</w:t>
      </w:r>
    </w:p>
    <w:p>
      <w:pPr>
        <w:numPr>
          <w:ilvl w:val="0"/>
          <w:numId w:val="1026"/>
        </w:numPr>
        <w:pStyle w:val="Compact"/>
      </w:pPr>
      <w:r>
        <w:t xml:space="preserve">route-following and zone-coverage objectives</w:t>
      </w:r>
    </w:p>
    <w:p>
      <w:pPr>
        <w:numPr>
          <w:ilvl w:val="0"/>
          <w:numId w:val="1026"/>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9"/>
    <w:bookmarkStart w:id="80"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0"/>
    <w:bookmarkStart w:id="86" w:name="attack-scenarios"/>
    <w:p>
      <w:pPr>
        <w:pStyle w:val="Heading2"/>
      </w:pPr>
      <w:r>
        <w:t xml:space="preserve">Attack Scenarios</w:t>
      </w:r>
    </w:p>
    <w:bookmarkStart w:id="8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1"/>
    <w:bookmarkStart w:id="8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7"/>
        </w:numPr>
        <w:pStyle w:val="Compact"/>
      </w:pPr>
      <w:r>
        <w:t xml:space="preserve">attack start time</w:t>
      </w:r>
    </w:p>
    <w:p>
      <w:pPr>
        <w:numPr>
          <w:ilvl w:val="0"/>
          <w:numId w:val="1027"/>
        </w:numPr>
        <w:pStyle w:val="Compact"/>
      </w:pPr>
      <w:r>
        <w:t xml:space="preserve">attack duration</w:t>
      </w:r>
    </w:p>
    <w:p>
      <w:pPr>
        <w:numPr>
          <w:ilvl w:val="0"/>
          <w:numId w:val="1027"/>
        </w:numPr>
        <w:pStyle w:val="Compact"/>
      </w:pPr>
      <w:r>
        <w:t xml:space="preserve">affected UAV ratio</w:t>
      </w:r>
    </w:p>
    <w:p>
      <w:pPr>
        <w:numPr>
          <w:ilvl w:val="0"/>
          <w:numId w:val="1027"/>
        </w:numPr>
        <w:pStyle w:val="Compact"/>
      </w:pPr>
      <w:r>
        <w:t xml:space="preserve">packet loss intensity</w:t>
      </w:r>
    </w:p>
    <w:p>
      <w:pPr>
        <w:numPr>
          <w:ilvl w:val="0"/>
          <w:numId w:val="1027"/>
        </w:numPr>
        <w:pStyle w:val="Compact"/>
      </w:pPr>
      <w:r>
        <w:t xml:space="preserve">additional latency</w:t>
      </w:r>
    </w:p>
    <w:bookmarkEnd w:id="82"/>
    <w:bookmarkStart w:id="8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8"/>
        </w:numPr>
        <w:pStyle w:val="Compact"/>
      </w:pPr>
      <w:r>
        <w:t xml:space="preserve">sudden location jumps</w:t>
      </w:r>
    </w:p>
    <w:p>
      <w:pPr>
        <w:numPr>
          <w:ilvl w:val="0"/>
          <w:numId w:val="1028"/>
        </w:numPr>
        <w:pStyle w:val="Compact"/>
      </w:pPr>
      <w:r>
        <w:t xml:space="preserve">gradual position drift</w:t>
      </w:r>
    </w:p>
    <w:p>
      <w:pPr>
        <w:numPr>
          <w:ilvl w:val="0"/>
          <w:numId w:val="1028"/>
        </w:numPr>
        <w:pStyle w:val="Compact"/>
      </w:pPr>
      <w:r>
        <w:t xml:space="preserve">route deviation</w:t>
      </w:r>
    </w:p>
    <w:p>
      <w:pPr>
        <w:numPr>
          <w:ilvl w:val="0"/>
          <w:numId w:val="1028"/>
        </w:numPr>
        <w:pStyle w:val="Compact"/>
      </w:pPr>
      <w:r>
        <w:t xml:space="preserve">velocity inconsistency</w:t>
      </w:r>
    </w:p>
    <w:p>
      <w:pPr>
        <w:numPr>
          <w:ilvl w:val="0"/>
          <w:numId w:val="1028"/>
        </w:numPr>
        <w:pStyle w:val="Compact"/>
      </w:pPr>
      <w:r>
        <w:t xml:space="preserve">incorrect mission-zone reporting</w:t>
      </w:r>
    </w:p>
    <w:bookmarkEnd w:id="83"/>
    <w:bookmarkStart w:id="8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29"/>
        </w:numPr>
        <w:pStyle w:val="Compact"/>
      </w:pPr>
      <w:r>
        <w:t xml:space="preserve">changed UAV coordinates</w:t>
      </w:r>
    </w:p>
    <w:p>
      <w:pPr>
        <w:numPr>
          <w:ilvl w:val="0"/>
          <w:numId w:val="1029"/>
        </w:numPr>
        <w:pStyle w:val="Compact"/>
      </w:pPr>
      <w:r>
        <w:t xml:space="preserve">modified timestamps</w:t>
      </w:r>
    </w:p>
    <w:p>
      <w:pPr>
        <w:numPr>
          <w:ilvl w:val="0"/>
          <w:numId w:val="1029"/>
        </w:numPr>
        <w:pStyle w:val="Compact"/>
      </w:pPr>
      <w:r>
        <w:t xml:space="preserve">altered mission-zone status</w:t>
      </w:r>
    </w:p>
    <w:p>
      <w:pPr>
        <w:numPr>
          <w:ilvl w:val="0"/>
          <w:numId w:val="1029"/>
        </w:numPr>
        <w:pStyle w:val="Compact"/>
      </w:pPr>
      <w:r>
        <w:t xml:space="preserve">broken hash-chain verification</w:t>
      </w:r>
    </w:p>
    <w:bookmarkEnd w:id="84"/>
    <w:bookmarkStart w:id="8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5"/>
    <w:bookmarkEnd w:id="86"/>
    <w:bookmarkStart w:id="8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tamper-resistant logging</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tamper-resistant logging</w:t>
            </w:r>
          </w:p>
        </w:tc>
      </w:tr>
      <w:tr>
        <w:tc>
          <w:tcPr/>
          <w:p>
            <w:pPr>
              <w:pStyle w:val="Compact"/>
              <w:jc w:val="left"/>
            </w:pPr>
            <w:r>
              <w:t xml:space="preserve">B3: Logging-Only System</w:t>
            </w:r>
          </w:p>
        </w:tc>
        <w:tc>
          <w:tcPr/>
          <w:p>
            <w:pPr>
              <w:pStyle w:val="Compact"/>
              <w:jc w:val="left"/>
            </w:pPr>
            <w:r>
              <w:t xml:space="preserve">Uses tamper-resistant logging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tamper-resistant logging</w:t>
            </w:r>
          </w:p>
        </w:tc>
      </w:tr>
    </w:tbl>
    <w:bookmarkEnd w:id="87"/>
    <w:bookmarkStart w:id="89"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numPr>
          <w:ilvl w:val="0"/>
          <w:numId w:val="1030"/>
        </w:numPr>
        <w:pStyle w:val="Compact"/>
      </w:pPr>
      <w:r>
        <w:t xml:space="preserve">Logistic Regression (sequence-flattened input)</w:t>
      </w:r>
    </w:p>
    <w:p>
      <w:pPr>
        <w:numPr>
          <w:ilvl w:val="0"/>
          <w:numId w:val="1030"/>
        </w:numPr>
        <w:pStyle w:val="Compact"/>
      </w:pPr>
      <w:r>
        <w:t xml:space="preserve">Support Vector Machine (sequence-flattened input)</w:t>
      </w:r>
    </w:p>
    <w:p>
      <w:pPr>
        <w:numPr>
          <w:ilvl w:val="0"/>
          <w:numId w:val="1030"/>
        </w:numPr>
        <w:pStyle w:val="Compact"/>
      </w:pPr>
      <w:r>
        <w:t xml:space="preserve">Random Forest (sequence-flattened input)</w:t>
      </w:r>
    </w:p>
    <w:p>
      <w:pPr>
        <w:numPr>
          <w:ilvl w:val="0"/>
          <w:numId w:val="1030"/>
        </w:numPr>
        <w:pStyle w:val="Compact"/>
      </w:pPr>
      <w:r>
        <w:t xml:space="preserve">Gradient Boosting / XGBoost (sequence-flattened input)</w:t>
      </w:r>
    </w:p>
    <w:p>
      <w:pPr>
        <w:numPr>
          <w:ilvl w:val="0"/>
          <w:numId w:val="1030"/>
        </w:numPr>
        <w:pStyle w:val="Compact"/>
      </w:pPr>
      <w:r>
        <w:t xml:space="preserve">GRU (recurrent, 20-step window)</w:t>
      </w:r>
    </w:p>
    <w:p>
      <w:pPr>
        <w:numPr>
          <w:ilvl w:val="0"/>
          <w:numId w:val="1030"/>
        </w:numPr>
        <w:pStyle w:val="Compact"/>
      </w:pPr>
      <w:r>
        <w:t xml:space="preserve">LSTM (recurrent, 20-step window)</w:t>
      </w:r>
    </w:p>
    <w:p>
      <w:pPr>
        <w:numPr>
          <w:ilvl w:val="0"/>
          <w:numId w:val="1030"/>
        </w:numPr>
        <w:pStyle w:val="Compact"/>
      </w:pPr>
      <w:r>
        <w:t xml:space="preserve">Weighted GRU (class-weighted loss)</w:t>
      </w:r>
    </w:p>
    <w:p>
      <w:pPr>
        <w:numPr>
          <w:ilvl w:val="0"/>
          <w:numId w:val="1030"/>
        </w:numPr>
        <w:pStyle w:val="Compact"/>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88" w:name="lstm-and-gru-hyperparameters"/>
    <w:p>
      <w:pPr>
        <w:pStyle w:val="Heading3"/>
      </w:pPr>
      <w:r>
        <w:t xml:space="preserve">LSTM and GRU Hyperparameters</w:t>
      </w:r>
    </w:p>
    <w:p>
      <w:pPr>
        <w:pStyle w:val="FirstParagraph"/>
      </w:pPr>
      <w:r>
        <w:t xml:space="preserve">Table 2 lists the hyperparameters used for the recurrent models in the v3 evaluation.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Hyperparameter</w:t>
            </w:r>
          </w:p>
        </w:tc>
        <w:tc>
          <w:tcPr/>
          <w:p>
            <w:pPr>
              <w:pStyle w:val="Compact"/>
              <w:jc w:val="left"/>
            </w:pPr>
            <w:r>
              <w:t xml:space="preserve">Value</w:t>
            </w:r>
          </w:p>
        </w:tc>
      </w:tr>
      <w:tr>
        <w:tc>
          <w:tcPr/>
          <w:p>
            <w:pPr>
              <w:pStyle w:val="Compact"/>
              <w:jc w:val="left"/>
            </w:pPr>
            <w:r>
              <w:t xml:space="preserve">Input sequence length</w:t>
            </w:r>
          </w:p>
        </w:tc>
        <w:tc>
          <w:tcPr/>
          <w:p>
            <w:pPr>
              <w:pStyle w:val="Compact"/>
              <w:jc w:val="left"/>
            </w:pPr>
            <w:r>
              <w:t xml:space="preserve">20 steps</w:t>
            </w:r>
          </w:p>
        </w:tc>
      </w:tr>
      <w:tr>
        <w:tc>
          <w:tcPr/>
          <w:p>
            <w:pPr>
              <w:pStyle w:val="Compact"/>
              <w:jc w:val="left"/>
            </w:pPr>
            <w:r>
              <w:t xml:space="preserve">Input features per step</w:t>
            </w:r>
          </w:p>
        </w:tc>
        <w:tc>
          <w:tcPr/>
          <w:p>
            <w:pPr>
              <w:pStyle w:val="Compact"/>
              <w:jc w:val="left"/>
            </w:pPr>
            <w:r>
              <w:t xml:space="preserve">9</w:t>
            </w:r>
          </w:p>
        </w:tc>
      </w:tr>
      <w:tr>
        <w:tc>
          <w:tcPr/>
          <w:p>
            <w:pPr>
              <w:pStyle w:val="Compact"/>
              <w:jc w:val="left"/>
            </w:pPr>
            <w:r>
              <w:t xml:space="preserve">Hidden units (LSTM/GRU)</w:t>
            </w:r>
          </w:p>
        </w:tc>
        <w:tc>
          <w:tcPr/>
          <w:p>
            <w:pPr>
              <w:pStyle w:val="Compact"/>
              <w:jc w:val="left"/>
            </w:pPr>
            <w:r>
              <w:t xml:space="preserve">64</w:t>
            </w:r>
          </w:p>
        </w:tc>
      </w:tr>
      <w:tr>
        <w:tc>
          <w:tcPr/>
          <w:p>
            <w:pPr>
              <w:pStyle w:val="Compact"/>
              <w:jc w:val="left"/>
            </w:pPr>
            <w:r>
              <w:t xml:space="preserve">Number of recurrent layers</w:t>
            </w:r>
          </w:p>
        </w:tc>
        <w:tc>
          <w:tcPr/>
          <w:p>
            <w:pPr>
              <w:pStyle w:val="Compact"/>
              <w:jc w:val="left"/>
            </w:pPr>
            <w:r>
              <w:t xml:space="preserve">2</w:t>
            </w:r>
          </w:p>
        </w:tc>
      </w:tr>
      <w:tr>
        <w:tc>
          <w:tcPr/>
          <w:p>
            <w:pPr>
              <w:pStyle w:val="Compact"/>
              <w:jc w:val="left"/>
            </w:pPr>
            <w:r>
              <w:t xml:space="preserve">Dropout rate</w:t>
            </w:r>
          </w:p>
        </w:tc>
        <w:tc>
          <w:tcPr/>
          <w:p>
            <w:pPr>
              <w:pStyle w:val="Compact"/>
              <w:jc w:val="left"/>
            </w:pPr>
            <w:r>
              <w:t xml:space="preserve">0.30</w:t>
            </w:r>
          </w:p>
        </w:tc>
      </w:tr>
      <w:tr>
        <w:tc>
          <w:tcPr/>
          <w:p>
            <w:pPr>
              <w:pStyle w:val="Compact"/>
              <w:jc w:val="left"/>
            </w:pPr>
            <w:r>
              <w:t xml:space="preserve">Optimizer</w:t>
            </w:r>
          </w:p>
        </w:tc>
        <w:tc>
          <w:tcPr/>
          <w:p>
            <w:pPr>
              <w:pStyle w:val="Compact"/>
              <w:jc w:val="left"/>
            </w:pPr>
            <w:r>
              <w:t xml:space="preserve">Adam</w:t>
            </w:r>
          </w:p>
        </w:tc>
      </w:tr>
      <w:tr>
        <w:tc>
          <w:tcPr/>
          <w:p>
            <w:pPr>
              <w:pStyle w:val="Compact"/>
              <w:jc w:val="left"/>
            </w:pPr>
            <w:r>
              <w:t xml:space="preserve">Learning rate</w:t>
            </w:r>
          </w:p>
        </w:tc>
        <w:tc>
          <w:tcPr/>
          <w:p>
            <w:pPr>
              <w:pStyle w:val="Compact"/>
              <w:jc w:val="left"/>
            </w:pPr>
            <w:r>
              <w:t xml:space="preserve">0.001</w:t>
            </w:r>
          </w:p>
        </w:tc>
      </w:tr>
      <w:tr>
        <w:tc>
          <w:tcPr/>
          <w:p>
            <w:pPr>
              <w:pStyle w:val="Compact"/>
              <w:jc w:val="left"/>
            </w:pPr>
            <w:r>
              <w:t xml:space="preserve">Batch size</w:t>
            </w:r>
          </w:p>
        </w:tc>
        <w:tc>
          <w:tcPr/>
          <w:p>
            <w:pPr>
              <w:pStyle w:val="Compact"/>
              <w:jc w:val="left"/>
            </w:pPr>
            <w:r>
              <w:t xml:space="preserve">64</w:t>
            </w:r>
          </w:p>
        </w:tc>
      </w:tr>
      <w:tr>
        <w:tc>
          <w:tcPr/>
          <w:p>
            <w:pPr>
              <w:pStyle w:val="Compact"/>
              <w:jc w:val="left"/>
            </w:pPr>
            <w:r>
              <w:t xml:space="preserve">Training epochs</w:t>
            </w:r>
          </w:p>
        </w:tc>
        <w:tc>
          <w:tcPr/>
          <w:p>
            <w:pPr>
              <w:pStyle w:val="Compact"/>
              <w:jc w:val="left"/>
            </w:pPr>
            <w:r>
              <w:t xml:space="preserve">50</w:t>
            </w:r>
          </w:p>
        </w:tc>
      </w:tr>
      <w:tr>
        <w:tc>
          <w:tcPr/>
          <w:p>
            <w:pPr>
              <w:pStyle w:val="Compact"/>
              <w:jc w:val="left"/>
            </w:pPr>
            <w:r>
              <w:t xml:space="preserve">Early stopping patience</w:t>
            </w:r>
          </w:p>
        </w:tc>
        <w:tc>
          <w:tcPr/>
          <w:p>
            <w:pPr>
              <w:pStyle w:val="Compact"/>
              <w:jc w:val="left"/>
            </w:pPr>
            <w:r>
              <w:t xml:space="preserve">10 epochs</w:t>
            </w:r>
          </w:p>
        </w:tc>
      </w:tr>
      <w:tr>
        <w:tc>
          <w:tcPr/>
          <w:p>
            <w:pPr>
              <w:pStyle w:val="Compact"/>
              <w:jc w:val="left"/>
            </w:pPr>
            <w:r>
              <w:t xml:space="preserve">Loss function</w:t>
            </w:r>
          </w:p>
        </w:tc>
        <w:tc>
          <w:tcPr/>
          <w:p>
            <w:pPr>
              <w:pStyle w:val="Compact"/>
              <w:jc w:val="left"/>
            </w:pPr>
            <w:r>
              <w:t xml:space="preserve">Cross-entropy (weighted for Weighted LSTM/GRU)</w:t>
            </w:r>
          </w:p>
        </w:tc>
      </w:tr>
      <w:tr>
        <w:tc>
          <w:tcPr/>
          <w:p>
            <w:pPr>
              <w:pStyle w:val="Compact"/>
              <w:jc w:val="left"/>
            </w:pPr>
            <w:r>
              <w:t xml:space="preserve">Train / validation / test split</w:t>
            </w:r>
          </w:p>
        </w:tc>
        <w:tc>
          <w:tcPr/>
          <w:p>
            <w:pPr>
              <w:pStyle w:val="Compact"/>
              <w:jc w:val="left"/>
            </w:pPr>
            <w:r>
              <w:t xml:space="preserve">70% / 15% / 15% (stratified by class)</w:t>
            </w:r>
          </w:p>
        </w:tc>
      </w:tr>
      <w:tr>
        <w:tc>
          <w:tcPr/>
          <w:p>
            <w:pPr>
              <w:pStyle w:val="Compact"/>
              <w:jc w:val="left"/>
            </w:pPr>
            <w:r>
              <w:t xml:space="preserve">Random seed</w:t>
            </w:r>
          </w:p>
        </w:tc>
        <w:tc>
          <w:tcPr/>
          <w:p>
            <w:pPr>
              <w:pStyle w:val="Compact"/>
              <w:jc w:val="lef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88"/>
    <w:bookmarkEnd w:id="89"/>
    <w:bookmarkStart w:id="9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0"/>
    <w:bookmarkStart w:id="9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1"/>
    <w:bookmarkStart w:id="92" w:name="experimental-procedure"/>
    <w:p>
      <w:pPr>
        <w:pStyle w:val="Heading2"/>
      </w:pPr>
      <w:r>
        <w:t xml:space="preserve">Experimental Procedure</w:t>
      </w:r>
    </w:p>
    <w:p>
      <w:pPr>
        <w:pStyle w:val="FirstParagraph"/>
      </w:pPr>
      <w:r>
        <w:t xml:space="preserve">The evaluation follows these steps:</w:t>
      </w:r>
    </w:p>
    <w:p>
      <w:pPr>
        <w:numPr>
          <w:ilvl w:val="0"/>
          <w:numId w:val="1031"/>
        </w:numPr>
        <w:pStyle w:val="Compact"/>
      </w:pPr>
      <w:r>
        <w:t xml:space="preserve">Generate synthetic UAV mission data for each scenario.</w:t>
      </w:r>
    </w:p>
    <w:p>
      <w:pPr>
        <w:numPr>
          <w:ilvl w:val="0"/>
          <w:numId w:val="1031"/>
        </w:numPr>
        <w:pStyle w:val="Compact"/>
      </w:pPr>
      <w:r>
        <w:t xml:space="preserve">Inject attack effects according to the defined attack model.</w:t>
      </w:r>
    </w:p>
    <w:p>
      <w:pPr>
        <w:numPr>
          <w:ilvl w:val="0"/>
          <w:numId w:val="1031"/>
        </w:numPr>
        <w:pStyle w:val="Compact"/>
      </w:pPr>
      <w:r>
        <w:t xml:space="preserve">Train AI detection models using the generated dataset.</w:t>
      </w:r>
    </w:p>
    <w:p>
      <w:pPr>
        <w:numPr>
          <w:ilvl w:val="0"/>
          <w:numId w:val="1031"/>
        </w:numPr>
        <w:pStyle w:val="Compact"/>
      </w:pPr>
      <w:r>
        <w:t xml:space="preserve">Evaluate attack classification performance.</w:t>
      </w:r>
    </w:p>
    <w:p>
      <w:pPr>
        <w:numPr>
          <w:ilvl w:val="0"/>
          <w:numId w:val="1031"/>
        </w:numPr>
        <w:pStyle w:val="Compact"/>
      </w:pPr>
      <w:r>
        <w:t xml:space="preserve">Compute mission-risk scores.</w:t>
      </w:r>
    </w:p>
    <w:p>
      <w:pPr>
        <w:numPr>
          <w:ilvl w:val="0"/>
          <w:numId w:val="1031"/>
        </w:numPr>
        <w:pStyle w:val="Compact"/>
      </w:pPr>
      <w:r>
        <w:t xml:space="preserve">Apply adaptive mission-continuation logic in RA-MARS.</w:t>
      </w:r>
    </w:p>
    <w:p>
      <w:pPr>
        <w:numPr>
          <w:ilvl w:val="0"/>
          <w:numId w:val="1031"/>
        </w:numPr>
        <w:pStyle w:val="Compact"/>
      </w:pPr>
      <w:r>
        <w:t xml:space="preserve">Verify mission logs using tamper-resistant logging.</w:t>
      </w:r>
    </w:p>
    <w:p>
      <w:pPr>
        <w:numPr>
          <w:ilvl w:val="0"/>
          <w:numId w:val="1031"/>
        </w:numPr>
        <w:pStyle w:val="Compact"/>
      </w:pPr>
      <w:r>
        <w:t xml:space="preserve">Compare RA-MARS against baseline systems.</w:t>
      </w:r>
    </w:p>
    <w:p>
      <w:pPr>
        <w:numPr>
          <w:ilvl w:val="0"/>
          <w:numId w:val="1031"/>
        </w:numPr>
        <w:pStyle w:val="Compact"/>
      </w:pPr>
      <w:r>
        <w:t xml:space="preserve">Generate result tables and graphs.</w:t>
      </w:r>
    </w:p>
    <w:p>
      <w:pPr>
        <w:numPr>
          <w:ilvl w:val="0"/>
          <w:numId w:val="1031"/>
        </w:numPr>
        <w:pStyle w:val="Compact"/>
      </w:pPr>
      <w:r>
        <w:t xml:space="preserve">Interpret the findings from a mission-assurance perspective.</w:t>
      </w:r>
    </w:p>
    <w:bookmarkEnd w:id="92"/>
    <w:bookmarkStart w:id="9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3"/>
    <w:bookmarkStart w:id="9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94"/>
    <w:bookmarkStart w:id="96" w:name="v3-prior-work-comparison"/>
    <w:p>
      <w:pPr>
        <w:pStyle w:val="Heading2"/>
      </w:pPr>
      <w:r>
        <w:t xml:space="preserve">v3 Prior Work Comparison</w:t>
      </w:r>
    </w:p>
    <w:bookmarkStart w:id="95" w:name="X33da9431d4b8927dc9e24fe8ace50784167d4ab"/>
    <w:p>
      <w:pPr>
        <w:pStyle w:val="Heading3"/>
      </w:pPr>
      <w:r>
        <w:t xml:space="preserve">Table: Comparison of RA-MARS v3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v3</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p>
      <w:r>
        <w:pict>
          <v:rect style="width:0;height:1.5pt" o:hralign="center" o:hrstd="t" o:hr="t"/>
        </w:pict>
      </w:r>
    </w:p>
    <w:bookmarkEnd w:id="95"/>
    <w:bookmarkEnd w:id="96"/>
    <w:bookmarkEnd w:id="97"/>
    <w:bookmarkStart w:id="100"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numPr>
          <w:ilvl w:val="0"/>
          <w:numId w:val="1032"/>
        </w:numPr>
        <w:pStyle w:val="Compact"/>
      </w:pPr>
      <w:r>
        <w:t xml:space="preserve">packet loss rate</w:t>
      </w:r>
    </w:p>
    <w:p>
      <w:pPr>
        <w:numPr>
          <w:ilvl w:val="0"/>
          <w:numId w:val="1032"/>
        </w:numPr>
        <w:pStyle w:val="Compact"/>
      </w:pPr>
      <w:r>
        <w:t xml:space="preserve">communication latency</w:t>
      </w:r>
    </w:p>
    <w:p>
      <w:pPr>
        <w:numPr>
          <w:ilvl w:val="0"/>
          <w:numId w:val="1032"/>
        </w:numPr>
        <w:pStyle w:val="Compact"/>
      </w:pPr>
      <w:r>
        <w:t xml:space="preserve">route deviation</w:t>
      </w:r>
    </w:p>
    <w:p>
      <w:pPr>
        <w:numPr>
          <w:ilvl w:val="0"/>
          <w:numId w:val="1032"/>
        </w:numPr>
        <w:pStyle w:val="Compact"/>
      </w:pPr>
      <w:r>
        <w:t xml:space="preserve">GPS jump</w:t>
      </w:r>
    </w:p>
    <w:p>
      <w:pPr>
        <w:numPr>
          <w:ilvl w:val="0"/>
          <w:numId w:val="1032"/>
        </w:numPr>
        <w:pStyle w:val="Compact"/>
      </w:pPr>
      <w:r>
        <w:t xml:space="preserve">velocity inconsistency</w:t>
      </w:r>
    </w:p>
    <w:p>
      <w:pPr>
        <w:numPr>
          <w:ilvl w:val="0"/>
          <w:numId w:val="1032"/>
        </w:numPr>
        <w:pStyle w:val="Compact"/>
      </w:pPr>
      <w:r>
        <w:t xml:space="preserve">battery level</w:t>
      </w:r>
    </w:p>
    <w:p>
      <w:pPr>
        <w:numPr>
          <w:ilvl w:val="0"/>
          <w:numId w:val="1032"/>
        </w:numPr>
        <w:pStyle w:val="Compact"/>
      </w:pPr>
      <w:r>
        <w:t xml:space="preserve">mission progress</w:t>
      </w:r>
    </w:p>
    <w:p>
      <w:pPr>
        <w:numPr>
          <w:ilvl w:val="0"/>
          <w:numId w:val="1032"/>
        </w:numPr>
        <w:pStyle w:val="Compact"/>
      </w:pPr>
      <w:r>
        <w:t xml:space="preserve">zone coverage</w:t>
      </w:r>
    </w:p>
    <w:p>
      <w:pPr>
        <w:numPr>
          <w:ilvl w:val="0"/>
          <w:numId w:val="1032"/>
        </w:numPr>
        <w:pStyle w:val="Compact"/>
      </w:pPr>
      <w:r>
        <w:t xml:space="preserve">energy consumption</w:t>
      </w:r>
    </w:p>
    <w:p>
      <w:pPr>
        <w:pStyle w:val="FirstParagraph"/>
      </w:pPr>
      <w:r>
        <w:t xml:space="preserve">The following derived features are not used as classifier inputs:</w:t>
      </w:r>
    </w:p>
    <w:p>
      <w:pPr>
        <w:numPr>
          <w:ilvl w:val="0"/>
          <w:numId w:val="1033"/>
        </w:numPr>
        <w:pStyle w:val="Compact"/>
      </w:pPr>
      <w:r>
        <w:t xml:space="preserve">Mission Assurance Index</w:t>
      </w:r>
    </w:p>
    <w:p>
      <w:pPr>
        <w:numPr>
          <w:ilvl w:val="0"/>
          <w:numId w:val="1033"/>
        </w:numPr>
        <w:pStyle w:val="Compact"/>
      </w:pPr>
      <w:r>
        <w:t xml:space="preserve">communication score</w:t>
      </w:r>
    </w:p>
    <w:p>
      <w:pPr>
        <w:numPr>
          <w:ilvl w:val="0"/>
          <w:numId w:val="1033"/>
        </w:numPr>
        <w:pStyle w:val="Compact"/>
      </w:pPr>
      <w:r>
        <w:t xml:space="preserve">navigation score</w:t>
      </w:r>
    </w:p>
    <w:p>
      <w:pPr>
        <w:numPr>
          <w:ilvl w:val="0"/>
          <w:numId w:val="1033"/>
        </w:numPr>
        <w:pStyle w:val="Compact"/>
      </w:pPr>
      <w:r>
        <w:t xml:space="preserve">coverage score</w:t>
      </w:r>
    </w:p>
    <w:p>
      <w:pPr>
        <w:numPr>
          <w:ilvl w:val="0"/>
          <w:numId w:val="1033"/>
        </w:numPr>
        <w:pStyle w:val="Compact"/>
      </w:pPr>
      <w:r>
        <w:t xml:space="preserve">integrity score</w:t>
      </w:r>
    </w:p>
    <w:p>
      <w:pPr>
        <w:numPr>
          <w:ilvl w:val="0"/>
          <w:numId w:val="1033"/>
        </w:numPr>
        <w:pStyle w:val="Compact"/>
      </w:pPr>
      <w:r>
        <w:t xml:space="preserve">recovery score</w:t>
      </w:r>
    </w:p>
    <w:p>
      <w:pPr>
        <w:numPr>
          <w:ilvl w:val="0"/>
          <w:numId w:val="1033"/>
        </w:numPr>
        <w:pStyle w:val="Compact"/>
      </w:pPr>
      <w:r>
        <w:t xml:space="preserve">risk level</w:t>
      </w:r>
    </w:p>
    <w:p>
      <w:pPr>
        <w:numPr>
          <w:ilvl w:val="0"/>
          <w:numId w:val="1033"/>
        </w:numPr>
        <w:pStyle w:val="Compact"/>
      </w:pPr>
      <w:r>
        <w:t xml:space="preserve">adaptive action</w:t>
      </w:r>
    </w:p>
    <w:p>
      <w:pPr>
        <w:numPr>
          <w:ilvl w:val="0"/>
          <w:numId w:val="1033"/>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9" w:name="v3-digital-twin-action-selection-example"/>
    <w:p>
      <w:pPr>
        <w:pStyle w:val="Heading2"/>
      </w:pPr>
      <w:r>
        <w:t xml:space="preserve">v3 Digital Twin Action Selection Example</w:t>
      </w:r>
    </w:p>
    <w:bookmarkStart w:id="98"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98"/>
    <w:bookmarkEnd w:id="99"/>
    <w:bookmarkEnd w:id="100"/>
    <w:bookmarkStart w:id="110" w:name="v3-results-and-discussion"/>
    <w:p>
      <w:pPr>
        <w:pStyle w:val="Heading1"/>
      </w:pPr>
      <w:r>
        <w:t xml:space="preserve">v3 Results and Discussion</w:t>
      </w:r>
    </w:p>
    <w:bookmarkStart w:id="101"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1"/>
    <w:bookmarkStart w:id="102"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classifier uses temporal windows and excludes derived mission-assurance features from attack-detection input.</w:t>
      </w:r>
    </w:p>
    <w:bookmarkEnd w:id="102"/>
    <w:bookmarkStart w:id="103"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3"/>
    <w:bookmarkStart w:id="104" w:name="v3-baseline-comparison-results"/>
    <w:p>
      <w:pPr>
        <w:pStyle w:val="Heading2"/>
      </w:pPr>
      <w:r>
        <w:t xml:space="preserve">v3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jc w:val="lef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Cs/>
                <w:b/>
              </w:rPr>
              <w:t xml:space="preserve">78.25 ± 0.46</w:t>
            </w:r>
          </w:p>
        </w:tc>
      </w:tr>
      <w:tr>
        <w:tc>
          <w:tcPr/>
          <w:p>
            <w:pPr>
              <w:pStyle w:val="Compact"/>
              <w:jc w:val="lef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Cs/>
                <w:b/>
              </w:rPr>
              <w:t xml:space="preserve">0.7291 ± 0.0057</w:t>
            </w:r>
          </w:p>
        </w:tc>
      </w:tr>
      <w:tr>
        <w:tc>
          <w:tcPr/>
          <w:p>
            <w:pPr>
              <w:pStyle w:val="Compact"/>
              <w:jc w:val="lef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Cs/>
                <w:b/>
              </w:rPr>
              <w:t xml:space="preserve">0.9533 ± 0.0063</w:t>
            </w:r>
          </w:p>
        </w:tc>
      </w:tr>
      <w:tr>
        <w:tc>
          <w:tcPr/>
          <w:p>
            <w:pPr>
              <w:pStyle w:val="Compact"/>
              <w:jc w:val="lef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Cs/>
                <w:b/>
              </w:rPr>
              <w:t xml:space="preserve">44.7 ± 3.1</w:t>
            </w:r>
          </w:p>
        </w:tc>
      </w:tr>
      <w:tr>
        <w:tc>
          <w:tcPr/>
          <w:p>
            <w:pPr>
              <w:pStyle w:val="Compact"/>
              <w:jc w:val="lef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Cs/>
                <w:b/>
              </w:rPr>
              <w:t xml:space="preserve">36.9 ± 2.6</w:t>
            </w:r>
          </w:p>
        </w:tc>
      </w:tr>
      <w:tr>
        <w:tc>
          <w:tcPr/>
          <w:p>
            <w:pPr>
              <w:pStyle w:val="Compact"/>
              <w:jc w:val="lef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Cs/>
                <w:b/>
              </w:rPr>
              <w:t xml:space="preserve">100.00</w:t>
            </w:r>
          </w:p>
        </w:tc>
      </w:tr>
      <w:tr>
        <w:tc>
          <w:tcPr/>
          <w:p>
            <w:pPr>
              <w:pStyle w:val="Compact"/>
              <w:jc w:val="lef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Cs/>
                <w:b/>
              </w:rPr>
              <w:t xml:space="preserve">5.81 ± 0.63</w:t>
            </w:r>
          </w:p>
        </w:tc>
      </w:tr>
      <w:tr>
        <w:tc>
          <w:tcPr/>
          <w:p>
            <w:pPr>
              <w:pStyle w:val="Compact"/>
              <w:jc w:val="lef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Cs/>
                <w:b/>
              </w:rPr>
              <w:t xml:space="preserve">1.09 ± 0.02</w:t>
            </w:r>
          </w:p>
        </w:tc>
      </w:tr>
    </w:tbl>
    <w:p>
      <w:pPr>
        <w:pStyle w:val="BodyText"/>
      </w:pPr>
      <w:r>
        <w:rPr>
          <w:bCs/>
          <w:b/>
        </w:rPr>
        <w:t xml:space="preserve">B1:</w:t>
      </w:r>
      <w:r>
        <w:t xml:space="preserve"> </w:t>
      </w:r>
      <w:r>
        <w:t xml:space="preserve">Conventional UAV system (no AI detection, no risk scoring, no adaptive response, no tamper-resistant logging).</w:t>
      </w:r>
      <w:r>
        <w:t xml:space="preserve"> </w:t>
      </w:r>
      <w:r>
        <w:rPr>
          <w:bCs/>
          <w:b/>
        </w:rPr>
        <w:t xml:space="preserve">B2:</w:t>
      </w:r>
      <w:r>
        <w:t xml:space="preserve"> </w:t>
      </w:r>
      <w:r>
        <w:t xml:space="preserve">AI-only detection system.</w:t>
      </w:r>
      <w:r>
        <w:t xml:space="preserve"> </w:t>
      </w:r>
      <w:r>
        <w:rPr>
          <w:bCs/>
          <w:b/>
        </w:rPr>
        <w:t xml:space="preserve">B3:</w:t>
      </w:r>
      <w:r>
        <w:t xml:space="preserve"> </w:t>
      </w:r>
      <w:r>
        <w:t xml:space="preserve">Logging-only system.</w:t>
      </w:r>
      <w:r>
        <w:t xml:space="preserve"> </w:t>
      </w:r>
      <w:r>
        <w:rPr>
          <w:bCs/>
          <w:b/>
        </w:rPr>
        <w:t xml:space="preserve">B4:</w:t>
      </w:r>
      <w:r>
        <w:t xml:space="preserve"> </w:t>
      </w:r>
      <w:r>
        <w:t xml:space="preserve">Non-adaptive secure system (AI detection, risk scoring, and logging, but no adaptive mission continuation).</w:t>
      </w:r>
      <w:r>
        <w:t xml:space="preserve"> </w:t>
      </w:r>
      <w:r>
        <w:rPr>
          <w:bCs/>
          <w:b/>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all components except adaptive continuation, RA-MARS improves mission success by 11.74 percentage points (66.51% to 78.25%) and reduces mission recovery time by 59.6% (14.37 s to 5.81 s). This difference isolates the contribution of adaptive mission continuation, consistent with the ablation results in Section 6.3. Compared with B1, the full RA-MARS framework improves mission success by 26.91 percentage points,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04"/>
    <w:bookmarkStart w:id="105"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05"/>
    <w:bookmarkStart w:id="109"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bookmarkStart w:id="106"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06"/>
    <w:bookmarkStart w:id="107"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(78.25% → 61.82%, −16.43 pp), confirming that reactive mission adjustment under attack is the single most impactful capability. Removing the navigation trust module produced the second largest degradation (78.25% → 64.17%, −14.08 pp), reflecting the high impact of GPS spoofing on zone-coverage accuracy when navigation anomalies go unaddressed.</w:t>
      </w:r>
    </w:p>
    <w:bookmarkEnd w:id="107"/>
    <w:bookmarkStart w:id="108" w:name="px4-case-study-vs-main-evaluation"/>
    <w:p>
      <w:pPr>
        <w:pStyle w:val="Heading3"/>
      </w:pPr>
      <w:r>
        <w:t xml:space="preserve">PX4 Case Study vs Main Evaluation</w:t>
      </w:r>
    </w:p>
    <w:p>
      <w:pPr>
        <w:pStyle w:val="FirstParagraph"/>
      </w:pPr>
      <w:r>
        <w:t xml:space="preserve">The PX4-style case study achieved a higher mission success rate (97.94%) than the main v3 evaluation (78.25%). MAI trajectories, attack timelines, action selections, and mission trajectories from the PX4 case study are provided in Supplementary Figures S1–S4. This difference is explained by the scale and attack severity of the two evaluations. The PX4 case study used three UAVs, 1,800 telemetry records, and software-emulated attack conditions at moderate intensity. The main v3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108"/>
    <w:bookmarkEnd w:id="109"/>
    <w:bookmarkEnd w:id="110"/>
    <w:bookmarkStart w:id="113" w:name="limitations-and-future-work"/>
    <w:p>
      <w:pPr>
        <w:pStyle w:val="Heading1"/>
      </w:pPr>
      <w:r>
        <w:t xml:space="preserve">Limitations and Future Work</w:t>
      </w:r>
    </w:p>
    <w:bookmarkStart w:id="11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11"/>
    <w:bookmarkStart w:id="11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12"/>
    <w:bookmarkEnd w:id="113"/>
    <w:bookmarkStart w:id="11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4"/>
    <w:bookmarkStart w:id="11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15"/>
    <w:bookmarkStart w:id="116"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16"/>
    <w:bookmarkStart w:id="170"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56" w:name="figures"/>
    <w:p>
      <w:pPr>
        <w:pStyle w:val="Heading2"/>
      </w:pPr>
      <w:r>
        <w:t xml:space="preserve">Figures</w:t>
      </w:r>
    </w:p>
    <w:p>
      <w:pPr>
        <w:pStyle w:val="CaptionedFigure"/>
      </w:pPr>
      <w:r>
        <w:drawing>
          <wp:inline>
            <wp:extent cx="1623901" cy="4061281"/>
            <wp:effectExtent b="0" l="0" r="0" t="0"/>
            <wp:docPr descr="Graphical Abstract. RA-MARS cross-layer mission assurance digital twin framework overview." title="" id="118" name="Picture"/>
            <a:graphic>
              <a:graphicData uri="http://schemas.openxmlformats.org/drawingml/2006/picture">
                <pic:pic>
                  <pic:nvPicPr>
                    <pic:cNvPr descr="figures/ra_mars_graphical_abstract_531x1328.png" id="119" name="Picture"/>
                    <pic:cNvPicPr>
                      <a:picLocks noChangeArrowheads="1" noChangeAspect="1"/>
                    </pic:cNvPicPr>
                  </pic:nvPicPr>
                  <pic:blipFill>
                    <a:blip r:embed="rId117"/>
                    <a:stretch>
                      <a:fillRect/>
                    </a:stretch>
                  </pic:blipFill>
                  <pic:spPr bwMode="auto">
                    <a:xfrm>
                      <a:off x="0" y="0"/>
                      <a:ext cx="1623901" cy="4061281"/>
                    </a:xfrm>
                    <a:prstGeom prst="rect">
                      <a:avLst/>
                    </a:prstGeom>
                    <a:noFill/>
                    <a:ln w="9525">
                      <a:noFill/>
                      <a:headEnd/>
                      <a:tailEnd/>
                    </a:ln>
                  </pic:spPr>
                </pic:pic>
              </a:graphicData>
            </a:graphic>
          </wp:inline>
        </w:drawing>
      </w:r>
    </w:p>
    <w:p>
      <w:pPr>
        <w:pStyle w:val="ImageCaption"/>
      </w:pPr>
      <w:r>
        <w:t xml:space="preserve">Graphical Abstract. RA-MARS cross-layer mission assurance digital twin framework overview.</w:t>
      </w:r>
    </w:p>
    <w:p>
      <w:pPr>
        <w:pStyle w:val="CaptionedFigure"/>
      </w:pPr>
      <w:r>
        <w:drawing>
          <wp:inline>
            <wp:extent cx="5334000" cy="2872153"/>
            <wp:effectExtent b="0" l="0" r="0" t="0"/>
            <wp:docPr descr="Figure 1. RA-MARS v3 cross-layer mission assurance digital twin architecture." title="" id="121" name="Picture"/>
            <a:graphic>
              <a:graphicData uri="http://schemas.openxmlformats.org/drawingml/2006/picture">
                <pic:pic>
                  <pic:nvPicPr>
                    <pic:cNvPr descr="figures/figure_v3_cross_layer_architecture.png" id="122" name="Picture"/>
                    <pic:cNvPicPr>
                      <a:picLocks noChangeArrowheads="1" noChangeAspect="1"/>
                    </pic:cNvPicPr>
                  </pic:nvPicPr>
                  <pic:blipFill>
                    <a:blip r:embed="rId12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24" name="Picture"/>
            <a:graphic>
              <a:graphicData uri="http://schemas.openxmlformats.org/drawingml/2006/picture">
                <pic:pic>
                  <pic:nvPicPr>
                    <pic:cNvPr descr="figures/ra_mars_threat_model.png" id="125" name="Picture"/>
                    <pic:cNvPicPr>
                      <a:picLocks noChangeArrowheads="1" noChangeAspect="1"/>
                    </pic:cNvPicPr>
                  </pic:nvPicPr>
                  <pic:blipFill>
                    <a:blip r:embed="rId12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27" name="Picture"/>
            <a:graphic>
              <a:graphicData uri="http://schemas.openxmlformats.org/drawingml/2006/picture">
                <pic:pic>
                  <pic:nvPicPr>
                    <pic:cNvPr descr="figures/figure_v3_closed_loop_workflow.png" id="128" name="Picture"/>
                    <pic:cNvPicPr>
                      <a:picLocks noChangeArrowheads="1" noChangeAspect="1"/>
                    </pic:cNvPicPr>
                  </pic:nvPicPr>
                  <pic:blipFill>
                    <a:blip r:embed="rId12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30" name="Picture"/>
            <a:graphic>
              <a:graphicData uri="http://schemas.openxmlformats.org/drawingml/2006/picture">
                <pic:pic>
                  <pic:nvPicPr>
                    <pic:cNvPr descr="figures/figure_v3_mission_assurance_index_components.png" id="131" name="Picture"/>
                    <pic:cNvPicPr>
                      <a:picLocks noChangeArrowheads="1" noChangeAspect="1"/>
                    </pic:cNvPicPr>
                  </pic:nvPicPr>
                  <pic:blipFill>
                    <a:blip r:embed="rId1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33" name="Picture"/>
            <a:graphic>
              <a:graphicData uri="http://schemas.openxmlformats.org/drawingml/2006/picture">
                <pic:pic>
                  <pic:nvPicPr>
                    <pic:cNvPr descr="figures/figure_v3_experimental_pipeline.png" id="134" name="Picture"/>
                    <pic:cNvPicPr>
                      <a:picLocks noChangeArrowheads="1" noChangeAspect="1"/>
                    </pic:cNvPicPr>
                  </pic:nvPicPr>
                  <pic:blipFill>
                    <a:blip r:embed="rId132"/>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36" name="Picture"/>
            <a:graphic>
              <a:graphicData uri="http://schemas.openxmlformats.org/drawingml/2006/picture">
                <pic:pic>
                  <pic:nvPicPr>
                    <pic:cNvPr descr="figures/figure_v3_attack_timeline.png" id="137" name="Picture"/>
                    <pic:cNvPicPr>
                      <a:picLocks noChangeArrowheads="1" noChangeAspect="1"/>
                    </pic:cNvPicPr>
                  </pic:nvPicPr>
                  <pic:blipFill>
                    <a:blip r:embed="rId13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2702125"/>
            <wp:effectExtent b="0" l="0" r="0" t="0"/>
            <wp:docPr descr="Figure 7. RA-MARS v3 model comparison by macro F1-score." title="" id="139" name="Picture"/>
            <a:graphic>
              <a:graphicData uri="http://schemas.openxmlformats.org/drawingml/2006/picture">
                <pic:pic>
                  <pic:nvPicPr>
                    <pic:cNvPr descr="figures/fig07_model_comparison_macro_f1.png" id="140" name="Picture"/>
                    <pic:cNvPicPr>
                      <a:picLocks noChangeArrowheads="1" noChangeAspect="1"/>
                    </pic:cNvPicPr>
                  </pic:nvPicPr>
                  <pic:blipFill>
                    <a:blip r:embed="rId138"/>
                    <a:stretch>
                      <a:fillRect/>
                    </a:stretch>
                  </pic:blipFill>
                  <pic:spPr bwMode="auto">
                    <a:xfrm>
                      <a:off x="0" y="0"/>
                      <a:ext cx="5334000" cy="2702125"/>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212308"/>
            <wp:effectExtent b="0" l="0" r="0" t="0"/>
            <wp:docPr descr="Figure 8. Confusion matrix — Weighted LSTM (best model, 8 mission-state classes)." title="" id="142" name="Picture"/>
            <a:graphic>
              <a:graphicData uri="http://schemas.openxmlformats.org/drawingml/2006/picture">
                <pic:pic>
                  <pic:nvPicPr>
                    <pic:cNvPr descr="figures/fig08_confusion_matrix_weighted_lstm.png" id="143" name="Picture"/>
                    <pic:cNvPicPr>
                      <a:picLocks noChangeArrowheads="1" noChangeAspect="1"/>
                    </pic:cNvPicPr>
                  </pic:nvPicPr>
                  <pic:blipFill>
                    <a:blip r:embed="rId141"/>
                    <a:stretch>
                      <a:fillRect/>
                    </a:stretch>
                  </pic:blipFill>
                  <pic:spPr bwMode="auto">
                    <a:xfrm>
                      <a:off x="0" y="0"/>
                      <a:ext cx="5334000" cy="4212308"/>
                    </a:xfrm>
                    <a:prstGeom prst="rect">
                      <a:avLst/>
                    </a:prstGeom>
                    <a:noFill/>
                    <a:ln w="9525">
                      <a:noFill/>
                      <a:headEnd/>
                      <a:tailEnd/>
                    </a:ln>
                  </pic:spPr>
                </pic:pic>
              </a:graphicData>
            </a:graphic>
          </wp:inline>
        </w:drawing>
      </w:r>
    </w:p>
    <w:p>
      <w:pPr>
        <w:pStyle w:val="ImageCaption"/>
      </w:pPr>
      <w:r>
        <w:t xml:space="preserve">Figure 8. Confusion matrix — Weighted LSTM (best model, 8 mission-state classes).</w:t>
      </w:r>
    </w:p>
    <w:p>
      <w:pPr>
        <w:pStyle w:val="CaptionedFigure"/>
      </w:pPr>
      <w:r>
        <w:drawing>
          <wp:inline>
            <wp:extent cx="5334000" cy="2798952"/>
            <wp:effectExtent b="0" l="0" r="0" t="0"/>
            <wp:docPr descr="Figure 9. Per-class precision, recall and F1-score — Weighted LSTM." title="" id="145" name="Picture"/>
            <a:graphic>
              <a:graphicData uri="http://schemas.openxmlformats.org/drawingml/2006/picture">
                <pic:pic>
                  <pic:nvPicPr>
                    <pic:cNvPr descr="figures/fig09_per_class_f1_weighted_lstm.png" id="146" name="Picture"/>
                    <pic:cNvPicPr>
                      <a:picLocks noChangeArrowheads="1" noChangeAspect="1"/>
                    </pic:cNvPicPr>
                  </pic:nvPicPr>
                  <pic:blipFill>
                    <a:blip r:embed="rId144"/>
                    <a:stretch>
                      <a:fillRect/>
                    </a:stretch>
                  </pic:blipFill>
                  <pic:spPr bwMode="auto">
                    <a:xfrm>
                      <a:off x="0" y="0"/>
                      <a:ext cx="5334000" cy="2798952"/>
                    </a:xfrm>
                    <a:prstGeom prst="rect">
                      <a:avLst/>
                    </a:prstGeom>
                    <a:noFill/>
                    <a:ln w="9525">
                      <a:noFill/>
                      <a:headEnd/>
                      <a:tailEnd/>
                    </a:ln>
                  </pic:spPr>
                </pic:pic>
              </a:graphicData>
            </a:graphic>
          </wp:inline>
        </w:drawing>
      </w:r>
    </w:p>
    <w:p>
      <w:pPr>
        <w:pStyle w:val="ImageCaption"/>
      </w:pPr>
      <w:r>
        <w:t xml:space="preserve">Figure 9. Per-class precision, recall and F1-score — Weighted LSTM.</w:t>
      </w:r>
    </w:p>
    <w:p>
      <w:pPr>
        <w:pStyle w:val="CaptionedFigure"/>
      </w:pPr>
      <w:r>
        <w:drawing>
          <wp:inline>
            <wp:extent cx="5334000" cy="2168978"/>
            <wp:effectExtent b="0" l="0" r="0" t="0"/>
            <wp:docPr descr="Figure 10. Ablation study — component contribution to mission performance (95% CI, 30 runs) for mission success." title="" id="148" name="Picture"/>
            <a:graphic>
              <a:graphicData uri="http://schemas.openxmlformats.org/drawingml/2006/picture">
                <pic:pic>
                  <pic:nvPicPr>
                    <pic:cNvPr descr="figures/fig10_ablation_study.png" id="149" name="Picture"/>
                    <pic:cNvPicPr>
                      <a:picLocks noChangeArrowheads="1" noChangeAspect="1"/>
                    </pic:cNvPicPr>
                  </pic:nvPicPr>
                  <pic:blipFill>
                    <a:blip r:embed="rId147"/>
                    <a:stretch>
                      <a:fillRect/>
                    </a:stretch>
                  </pic:blipFill>
                  <pic:spPr bwMode="auto">
                    <a:xfrm>
                      <a:off x="0" y="0"/>
                      <a:ext cx="5334000" cy="2168978"/>
                    </a:xfrm>
                    <a:prstGeom prst="rect">
                      <a:avLst/>
                    </a:prstGeom>
                    <a:noFill/>
                    <a:ln w="9525">
                      <a:noFill/>
                      <a:headEnd/>
                      <a:tailEnd/>
                    </a:ln>
                  </pic:spPr>
                </pic:pic>
              </a:graphicData>
            </a:graphic>
          </wp:inline>
        </w:drawing>
      </w:r>
    </w:p>
    <w:p>
      <w:pPr>
        <w:pStyle w:val="ImageCaption"/>
      </w:pPr>
      <w:r>
        <w:t xml:space="preserve">Figure 10. Ablation study — component contribution to mission performance (95% CI, 30 runs) for mission success.</w:t>
      </w:r>
    </w:p>
    <w:p>
      <w:pPr>
        <w:pStyle w:val="CaptionedFigure"/>
      </w:pPr>
      <w:r>
        <w:drawing>
          <wp:inline>
            <wp:extent cx="5334000" cy="1840938"/>
            <wp:effectExtent b="0" l="0" r="0" t="0"/>
            <wp:docPr descr="Figure 11. Scalability analysis — mission performance across 10, 20 and 30 UAV swarm sizes (95% CI) by UAV count." title="" id="151" name="Picture"/>
            <a:graphic>
              <a:graphicData uri="http://schemas.openxmlformats.org/drawingml/2006/picture">
                <pic:pic>
                  <pic:nvPicPr>
                    <pic:cNvPr descr="figures/fig11_scalability.png" id="152" name="Picture"/>
                    <pic:cNvPicPr>
                      <a:picLocks noChangeArrowheads="1" noChangeAspect="1"/>
                    </pic:cNvPicPr>
                  </pic:nvPicPr>
                  <pic:blipFill>
                    <a:blip r:embed="rId150"/>
                    <a:stretch>
                      <a:fillRect/>
                    </a:stretch>
                  </pic:blipFill>
                  <pic:spPr bwMode="auto">
                    <a:xfrm>
                      <a:off x="0" y="0"/>
                      <a:ext cx="5334000" cy="1840938"/>
                    </a:xfrm>
                    <a:prstGeom prst="rect">
                      <a:avLst/>
                    </a:prstGeom>
                    <a:noFill/>
                    <a:ln w="9525">
                      <a:noFill/>
                      <a:headEnd/>
                      <a:tailEnd/>
                    </a:ln>
                  </pic:spPr>
                </pic:pic>
              </a:graphicData>
            </a:graphic>
          </wp:inline>
        </w:drawing>
      </w:r>
    </w:p>
    <w:p>
      <w:pPr>
        <w:pStyle w:val="ImageCaption"/>
      </w:pPr>
      <w:r>
        <w:t xml:space="preserve">Figure 11. Scalability analysis — mission performance across 10, 20 and 30 UAV swarm sizes (95% CI) by UAV count.</w:t>
      </w:r>
    </w:p>
    <w:p>
      <w:pPr>
        <w:pStyle w:val="CaptionedFigure"/>
      </w:pPr>
      <w:r>
        <w:drawing>
          <wp:inline>
            <wp:extent cx="5334000" cy="1997980"/>
            <wp:effectExtent b="0" l="0" r="0" t="0"/>
            <wp:docPr descr="Figure 12. Attack intensity stress test — mission performance under none, low, medium and high intensity attacks (95% CI)." title="" id="154" name="Picture"/>
            <a:graphic>
              <a:graphicData uri="http://schemas.openxmlformats.org/drawingml/2006/picture">
                <pic:pic>
                  <pic:nvPicPr>
                    <pic:cNvPr descr="figures/fig12_attack_intensity.png" id="155" name="Picture"/>
                    <pic:cNvPicPr>
                      <a:picLocks noChangeArrowheads="1" noChangeAspect="1"/>
                    </pic:cNvPicPr>
                  </pic:nvPicPr>
                  <pic:blipFill>
                    <a:blip r:embed="rId153"/>
                    <a:stretch>
                      <a:fillRect/>
                    </a:stretch>
                  </pic:blipFill>
                  <pic:spPr bwMode="auto">
                    <a:xfrm>
                      <a:off x="0" y="0"/>
                      <a:ext cx="5334000" cy="1997980"/>
                    </a:xfrm>
                    <a:prstGeom prst="rect">
                      <a:avLst/>
                    </a:prstGeom>
                    <a:noFill/>
                    <a:ln w="9525">
                      <a:noFill/>
                      <a:headEnd/>
                      <a:tailEnd/>
                    </a:ln>
                  </pic:spPr>
                </pic:pic>
              </a:graphicData>
            </a:graphic>
          </wp:inline>
        </w:drawing>
      </w:r>
    </w:p>
    <w:p>
      <w:pPr>
        <w:pStyle w:val="ImageCaption"/>
      </w:pPr>
      <w:r>
        <w:t xml:space="preserve">Figure 12. Attack intensity stress test — mission performance under none, low, medium and high intensity attacks (95% CI).</w:t>
      </w:r>
    </w:p>
    <w:bookmarkEnd w:id="156"/>
    <w:bookmarkStart w:id="169"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334000" cy="2963333"/>
            <wp:effectExtent b="0" l="0" r="0" t="0"/>
            <wp:docPr descr="Supplementary Figure S1. PX4-style mission assurance index over time across attack intervals." title="" id="158" name="Picture"/>
            <a:graphic>
              <a:graphicData uri="http://schemas.openxmlformats.org/drawingml/2006/picture">
                <pic:pic>
                  <pic:nvPicPr>
                    <pic:cNvPr descr="figures/px4_style_mission_assurance_index.png" id="159" name="Picture"/>
                    <pic:cNvPicPr>
                      <a:picLocks noChangeArrowheads="1" noChangeAspect="1"/>
                    </pic:cNvPicPr>
                  </pic:nvPicPr>
                  <pic:blipFill>
                    <a:blip r:embed="rId1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334000" cy="2963333"/>
            <wp:effectExtent b="0" l="0" r="0" t="0"/>
            <wp:docPr descr="Supplementary Figure S2. PX4-style attack timeline showing jamming, spoofing, tampering, and combined attack intervals with MAI response." title="" id="161" name="Picture"/>
            <a:graphic>
              <a:graphicData uri="http://schemas.openxmlformats.org/drawingml/2006/picture">
                <pic:pic>
                  <pic:nvPicPr>
                    <pic:cNvPr descr="figures/px4_style_attack_timeline.png" id="162" name="Picture"/>
                    <pic:cNvPicPr>
                      <a:picLocks noChangeArrowheads="1" noChangeAspect="1"/>
                    </pic:cNvPicPr>
                  </pic:nvPicPr>
                  <pic:blipFill>
                    <a:blip r:embed="rId1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334000" cy="3333749"/>
            <wp:effectExtent b="0" l="0" r="0" t="0"/>
            <wp:docPr descr="Supplementary Figure S3. PX4-style digital twin action selection across mission intervals." title="" id="164" name="Picture"/>
            <a:graphic>
              <a:graphicData uri="http://schemas.openxmlformats.org/drawingml/2006/picture">
                <pic:pic>
                  <pic:nvPicPr>
                    <pic:cNvPr descr="figures/px4_style_action_selection.png" id="165" name="Picture"/>
                    <pic:cNvPicPr>
                      <a:picLocks noChangeArrowheads="1" noChangeAspect="1"/>
                    </pic:cNvPicPr>
                  </pic:nvPicPr>
                  <pic:blipFill>
                    <a:blip r:embed="rId163"/>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334000" cy="4000499"/>
            <wp:effectExtent b="0" l="0" r="0" t="0"/>
            <wp:docPr descr="Supplementary Figure S4. PX4-style UAV mission trajectories under normal and spoofing-like attack conditions." title="" id="167" name="Picture"/>
            <a:graphic>
              <a:graphicData uri="http://schemas.openxmlformats.org/drawingml/2006/picture">
                <pic:pic>
                  <pic:nvPicPr>
                    <pic:cNvPr descr="figures/px4_style_mission_trajectories.png" id="168" name="Picture"/>
                    <pic:cNvPicPr>
                      <a:picLocks noChangeArrowheads="1" noChangeAspect="1"/>
                    </pic:cNvPicPr>
                  </pic:nvPicPr>
                  <pic:blipFill>
                    <a:blip r:embed="rId16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69"/>
    <w:bookmarkEnd w:id="170"/>
    <w:bookmarkStart w:id="171"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71"/>
    <w:bookmarkStart w:id="17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72"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 Rep.,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 Inf. Forensics Secur.,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 Wirel. Commun.,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 Inf. Forensics Secur.,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 Soft Comput.,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 Mob. Comput.,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 Electron. Syst. Mag., vol. 39, no. 9, pp. 182–215, 2024, doi: 10.1109/MAES.2023.3318226.</w:t>
      </w:r>
    </w:p>
    <w:p>
      <w:pPr>
        <w:pStyle w:val="BodyText"/>
      </w:pPr>
      <w:r>
        <w:t xml:space="preserve">[12] Y. Mekdad, A. Aris, L. Babun, A. El Fergougui, M. Conti, R. Lazzeretti, et al.,</w:t>
      </w:r>
      <w:r>
        <w:t xml:space="preserve"> </w:t>
      </w:r>
      <w:r>
        <w:t xml:space="preserve">“</w:t>
      </w:r>
      <w:r>
        <w:t xml:space="preserve">A Survey on Security and Privacy Issues of UAVs,</w:t>
      </w:r>
      <w:r>
        <w:t xml:space="preserve">”</w:t>
      </w:r>
      <w:r>
        <w:t xml:space="preserve"> </w:t>
      </w:r>
      <w:r>
        <w:t xml:space="preserve">Comput. Netw.,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 Syst. Archit.,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 Syst. Archit.,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Things J.,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 Mob. Comput.,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 Netw.,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 Sel. Areas Commun., vol. 40, no. 12, pp. 3470–3484, 2022, doi: 10.1109/JSAC.2022.3213360.</w:t>
      </w:r>
    </w:p>
    <w:p>
      <w:pPr>
        <w:pStyle w:val="BodyText"/>
      </w:pPr>
      <w:r>
        <w:t xml:space="preserve">[19] S. Hafeez, A. R. Khan, M. Al-Quraan, L. Mohjazi, A. Zoha, M. A. Imran, et al.,</w:t>
      </w:r>
      <w:r>
        <w:t xml:space="preserve"> </w:t>
      </w:r>
      <w:r>
        <w:t xml:space="preserve">“</w:t>
      </w:r>
      <w:r>
        <w:t xml:space="preserve">Blockchain-Assisted UAV Communication Systems: A Comprehensive Survey,</w:t>
      </w:r>
      <w:r>
        <w:t xml:space="preserve">”</w:t>
      </w:r>
      <w:r>
        <w:t xml:space="preserve"> </w:t>
      </w:r>
      <w:r>
        <w:t xml:space="preserve">IEEE Open J. Veh. Technol.,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 Eng. Syst. Saf.,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 Eng. Syst. Saf.,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 Eng. Syst. Saf.,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 Eng. Syst. Saf.,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 Eng. Syst. Saf.,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 Intell. Transp. Syst.,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Things J.,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 Appl.,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 Appl.,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 Surv.,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 Veh. Technol.,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 Green Commun. Netw.,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 Veh. Technol.,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 Veh. Technol.,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et al.,</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 Navig.,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 Mechatron., vol. 30, no. 6, pp. 4165–4175, 2025, doi: 10.1109/TMECH.2025.3570315.</w:t>
      </w:r>
    </w:p>
    <w:p>
      <w:pPr>
        <w:pStyle w:val="BodyText"/>
      </w:pPr>
      <w:r>
        <w:t xml:space="preserve">[38] Y. Zeng, Z. Lu, X. Zhao, Z. Xiao, S. Ni, Z. Han, et al.,</w:t>
      </w:r>
      <w:r>
        <w:t xml:space="preserve"> </w:t>
      </w:r>
      <w:r>
        <w:t xml:space="preserve">“</w:t>
      </w:r>
      <w:r>
        <w:t xml:space="preserve">GNSS Jamming and Spoofing Threats in UAV Navigation: Countermeasure Status and Challenges,</w:t>
      </w:r>
      <w:r>
        <w:t xml:space="preserve">”</w:t>
      </w:r>
      <w:r>
        <w:t xml:space="preserve"> </w:t>
      </w:r>
      <w:r>
        <w:t xml:space="preserve">IEEE Commun. Surv. Tutor., vol. 28, pp. 5909–5948, 2025,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 J. Aeronaut.,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 J. Aeronaut.,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 Veh. Technol.,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 J. Aeronaut.,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 Surv., vol. 57, no. 3, article 74, pp. 1–37, 2024, doi: 10.1145/3703625.</w:t>
      </w:r>
    </w:p>
    <w:p>
      <w:pPr>
        <w:pStyle w:val="BodyText"/>
      </w:pPr>
      <w:r>
        <w:t xml:space="preserve">[44] E. Glaessgen and D. Stargel,</w:t>
      </w:r>
      <w:r>
        <w:t xml:space="preserve"> </w:t>
      </w:r>
      <w:r>
        <w:t xml:space="preserve">“</w:t>
      </w:r>
      <w:r>
        <w:t xml:space="preserve">The Digital Twin Paradigm for Future NASA and U.S. Air Force Vehicles,</w:t>
      </w:r>
      <w:r>
        <w:t xml:space="preserve">”</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w:t>
      </w:r>
      <w:r>
        <w:t xml:space="preserve">Digital Twin: Values, Challenges and Enablers From a Modeling Perspective,</w:t>
      </w:r>
      <w:r>
        <w:t xml:space="preserve">”</w:t>
      </w:r>
      <w:r>
        <w:t xml:space="preserve"> </w:t>
      </w:r>
      <w:r>
        <w:t xml:space="preserve">IEEE Access, vol. 8, pp. 21980–22012, 2020, doi: 10.1109/ACCESS.2020.2970143.</w:t>
      </w:r>
    </w:p>
    <w:p>
      <w:pPr>
        <w:pStyle w:val="BodyText"/>
      </w:pPr>
      <w:r>
        <w:t xml:space="preserve">[46] M. Eckhart and A. Ekelhart,</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35" Target="media/rId135.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17" Target="media/rId117.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2026-06-03T22:51:47Z</dcterms:created>
  <dcterms:modified xsi:type="dcterms:W3CDTF">2026-06-03T22:51:47Z</dcterms:modified>
</cp:coreProperties>
</file>

<file path=docProps/custom.xml><?xml version="1.0" encoding="utf-8"?>
<Properties xmlns="http://schemas.openxmlformats.org/officeDocument/2006/custom-properties" xmlns:vt="http://schemas.openxmlformats.org/officeDocument/2006/docPropsVTypes"/>
</file>