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left"/>
      </w:pPr>
      <w:r>
        <w:rPr>
          <w:rFonts w:ascii="Times New Roman" w:hAnsi="Times New Roman"/>
          <w:b/>
          <w:sz w:val="22"/>
        </w:rPr>
        <w:t>Highlights</w:t>
      </w:r>
    </w:p>
    <w:p>
      <w:pPr>
        <w:spacing w:before="40" w:after="40"/>
        <w:ind w:left="170"/>
        <w:jc w:val="left"/>
      </w:pPr>
      <w:r>
        <w:rPr>
          <w:rFonts w:ascii="Times New Roman" w:hAnsi="Times New Roman"/>
          <w:sz w:val="20"/>
        </w:rPr>
        <w:t xml:space="preserve">• </w:t>
      </w:r>
      <w:r>
        <w:rPr>
          <w:rFonts w:ascii="Times New Roman" w:hAnsi="Times New Roman"/>
          <w:sz w:val="20"/>
        </w:rPr>
        <w:t>RA-MARS unifies jamming, spoofing, and tampering defence for multi-UAV surveillance</w:t>
      </w:r>
    </w:p>
    <w:p>
      <w:pPr>
        <w:spacing w:before="40" w:after="40"/>
        <w:ind w:left="170"/>
        <w:jc w:val="left"/>
      </w:pPr>
      <w:r>
        <w:rPr>
          <w:rFonts w:ascii="Times New Roman" w:hAnsi="Times New Roman"/>
          <w:sz w:val="20"/>
        </w:rPr>
        <w:t xml:space="preserve">• </w:t>
      </w:r>
      <w:r>
        <w:rPr>
          <w:rFonts w:ascii="Times New Roman" w:hAnsi="Times New Roman"/>
          <w:sz w:val="20"/>
        </w:rPr>
        <w:t>Two-tier LSTM/1D-CNN detector achieves 99.81% macro F1 with FPR = 0.15%</w:t>
      </w:r>
    </w:p>
    <w:p>
      <w:pPr>
        <w:spacing w:before="40" w:after="40"/>
        <w:ind w:left="170"/>
        <w:jc w:val="left"/>
      </w:pPr>
      <w:r>
        <w:rPr>
          <w:rFonts w:ascii="Times New Roman" w:hAnsi="Times New Roman"/>
          <w:sz w:val="20"/>
        </w:rPr>
        <w:t xml:space="preserve">• </w:t>
      </w:r>
      <w:r>
        <w:rPr>
          <w:rFonts w:ascii="Times New Roman" w:hAnsi="Times New Roman"/>
          <w:sz w:val="20"/>
        </w:rPr>
        <w:t>SHA-256 hash-chain removal drops mission success 24 pp — most critical module</w:t>
      </w:r>
    </w:p>
    <w:p>
      <w:pPr>
        <w:spacing w:before="40" w:after="40"/>
        <w:ind w:left="170"/>
        <w:jc w:val="left"/>
      </w:pPr>
      <w:r>
        <w:rPr>
          <w:rFonts w:ascii="Times New Roman" w:hAnsi="Times New Roman"/>
          <w:sz w:val="20"/>
        </w:rPr>
        <w:t xml:space="preserve">• </w:t>
      </w:r>
      <w:r>
        <w:rPr>
          <w:rFonts w:ascii="Times New Roman" w:hAnsi="Times New Roman"/>
          <w:sz w:val="20"/>
        </w:rPr>
        <w:t>Digital twin action selection reduces post-attack recovery time 16-fold</w:t>
      </w:r>
    </w:p>
    <w:p>
      <w:pPr>
        <w:spacing w:before="40" w:after="40"/>
        <w:ind w:left="170"/>
        <w:jc w:val="left"/>
      </w:pPr>
      <w:r>
        <w:rPr>
          <w:rFonts w:ascii="Times New Roman" w:hAnsi="Times New Roman"/>
          <w:sz w:val="20"/>
        </w:rPr>
        <w:t xml:space="preserve">• </w:t>
      </w:r>
      <w:r>
        <w:rPr>
          <w:rFonts w:ascii="Times New Roman" w:hAnsi="Times New Roman"/>
          <w:sz w:val="20"/>
        </w:rPr>
        <w:t>Framework overhead is 11.5 ms per cycle; stable across 10–30 UAV swarm sizes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