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Discharge Summary</w:t>
      </w:r>
    </w:p>
    <w:p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DOC-0052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سارة المطيري</w:t>
        <w:br/>
      </w:r>
      <w:r>
        <w:rPr>
          <w:rFonts w:ascii="Arial" w:hAnsi="Arial"/>
          <w:sz w:val="18"/>
        </w:rPr>
        <w:t>الرقم المدني: 295373502248</w:t>
        <w:br/>
      </w:r>
      <w:r>
        <w:rPr>
          <w:rFonts w:ascii="Arial" w:hAnsi="Arial"/>
          <w:sz w:val="18"/>
        </w:rPr>
        <w:t>رقم الملف الطبي: MRN-329764</w:t>
        <w:br/>
      </w:r>
      <w:r>
        <w:rPr>
          <w:rFonts w:ascii="Arial" w:hAnsi="Arial"/>
          <w:sz w:val="18"/>
        </w:rPr>
        <w:t>رقم الزيارة: VIS-2025-82975</w:t>
        <w:br/>
      </w:r>
      <w:r>
        <w:rPr>
          <w:rFonts w:ascii="Arial" w:hAnsi="Arial"/>
          <w:sz w:val="18"/>
        </w:rPr>
        <w:t>تاريخ الميلاد: 03/01/1992</w:t>
        <w:br/>
      </w:r>
      <w:r>
        <w:rPr>
          <w:rFonts w:ascii="Arial" w:hAnsi="Arial"/>
          <w:sz w:val="18"/>
        </w:rPr>
        <w:t>الهاتف: +965 55474219</w:t>
        <w:br/>
      </w:r>
      <w:r>
        <w:rPr>
          <w:rFonts w:ascii="Arial" w:hAnsi="Arial"/>
          <w:sz w:val="18"/>
        </w:rPr>
        <w:t>البريد الإلكتروني: sara.alenezi@example-health.test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DISCHARGE SUMMARY</w:t>
        <w:br/>
      </w:r>
      <w:r>
        <w:rPr>
          <w:rFonts w:ascii="Arial" w:hAnsi="Arial"/>
          <w:sz w:val="18"/>
        </w:rPr>
        <w:t>Admission Date: 28/07/2026</w:t>
        <w:br/>
      </w:r>
      <w:r>
        <w:rPr>
          <w:rFonts w:ascii="Arial" w:hAnsi="Arial"/>
          <w:sz w:val="18"/>
        </w:rPr>
        <w:t>Discharge Date: 02/08/2026</w:t>
        <w:br/>
      </w:r>
      <w:r>
        <w:rPr>
          <w:rFonts w:ascii="Arial" w:hAnsi="Arial"/>
          <w:sz w:val="18"/>
        </w:rPr>
        <w:t>Consultant: د. عبدالله الفهد</w:t>
        <w:br/>
      </w:r>
      <w:r>
        <w:rPr>
          <w:rFonts w:ascii="Arial" w:hAnsi="Arial"/>
          <w:sz w:val="18"/>
        </w:rPr>
        <w:t>Principal Diagnosis: التهاب القصيبات</w:t>
        <w:br/>
      </w:r>
      <w:r>
        <w:rPr>
          <w:rFonts w:ascii="Arial" w:hAnsi="Arial"/>
          <w:sz w:val="18"/>
        </w:rPr>
        <w:t>Secondary Diagnoses: Hypertension; dyslipidemia.</w:t>
        <w:br/>
      </w:r>
      <w:r>
        <w:rPr>
          <w:rFonts w:ascii="Arial" w:hAnsi="Arial"/>
          <w:sz w:val="18"/>
        </w:rPr>
        <w:t>Hospital Course:</w:t>
        <w:br/>
      </w:r>
      <w:r>
        <w:rPr>
          <w:rFonts w:ascii="Arial" w:hAnsi="Arial"/>
          <w:sz w:val="18"/>
        </w:rPr>
        <w:t>The patient was admitted with fever, productive cough, and hypoxia. Chest radiograph demonstrated right lower-zone infiltrates. IV ceftriaxone and azithromycin were administered. Oxygen requirement improved and inflammatory markers declined.</w:t>
        <w:br/>
      </w:r>
      <w:r>
        <w:rPr>
          <w:rFonts w:ascii="Arial" w:hAnsi="Arial"/>
          <w:sz w:val="18"/>
        </w:rPr>
        <w:t>Discharge Medications:</w:t>
        <w:br/>
      </w:r>
      <w:r>
        <w:rPr>
          <w:rFonts w:ascii="Arial" w:hAnsi="Arial"/>
          <w:sz w:val="18"/>
        </w:rPr>
        <w:t>1. Amoxicillin/clavulanate 625 mg PO TID for 5 days.</w:t>
        <w:br/>
      </w:r>
      <w:r>
        <w:rPr>
          <w:rFonts w:ascii="Arial" w:hAnsi="Arial"/>
          <w:sz w:val="18"/>
        </w:rPr>
        <w:t>2. Paracetamol 1 g PO every 8 hours as needed.</w:t>
        <w:br/>
      </w:r>
      <w:r>
        <w:rPr>
          <w:rFonts w:ascii="Arial" w:hAnsi="Arial"/>
          <w:sz w:val="18"/>
        </w:rPr>
        <w:t>Follow-up:</w:t>
        <w:br/>
      </w:r>
      <w:r>
        <w:rPr>
          <w:rFonts w:ascii="Arial" w:hAnsi="Arial"/>
          <w:sz w:val="18"/>
        </w:rPr>
        <w:t>Internal Medicine Clinic in 7 days.</w:t>
        <w:br/>
      </w:r>
      <w:r>
        <w:rPr>
          <w:rFonts w:ascii="Arial" w:hAnsi="Arial"/>
          <w:sz w:val="18"/>
        </w:rPr>
        <w:t>Condition at Discharge: Stable.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CHK-68013349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