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Discharge Summary</w:t>
      </w:r>
    </w:p>
    <w:p>
      <w:r>
        <w:rPr>
          <w:rFonts w:ascii="Arial" w:hAnsi="Arial"/>
          <w:sz w:val="18"/>
        </w:rPr>
        <w:t>Al Shifa Women and Children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DOC-0054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أحمد العوضي</w:t>
        <w:br/>
      </w:r>
      <w:r>
        <w:rPr>
          <w:rFonts w:ascii="Arial" w:hAnsi="Arial"/>
          <w:sz w:val="18"/>
        </w:rPr>
        <w:t>Civil ID: 290519507052</w:t>
        <w:br/>
      </w:r>
      <w:r>
        <w:rPr>
          <w:rFonts w:ascii="Arial" w:hAnsi="Arial"/>
          <w:sz w:val="18"/>
        </w:rPr>
        <w:t>MRN: MRN-318650</w:t>
        <w:br/>
      </w:r>
      <w:r>
        <w:rPr>
          <w:rFonts w:ascii="Arial" w:hAnsi="Arial"/>
          <w:sz w:val="18"/>
        </w:rPr>
        <w:t>Visit Number: VIS-2024-31812</w:t>
        <w:br/>
      </w:r>
      <w:r>
        <w:rPr>
          <w:rFonts w:ascii="Arial" w:hAnsi="Arial"/>
          <w:sz w:val="18"/>
        </w:rPr>
        <w:t>Date of Birth: 18/03/1994</w:t>
        <w:br/>
      </w:r>
      <w:r>
        <w:rPr>
          <w:rFonts w:ascii="Arial" w:hAnsi="Arial"/>
          <w:sz w:val="18"/>
        </w:rPr>
        <w:t>Phone: +965 51680323</w:t>
        <w:br/>
      </w:r>
      <w:r>
        <w:rPr>
          <w:rFonts w:ascii="Arial" w:hAnsi="Arial"/>
          <w:sz w:val="18"/>
        </w:rPr>
        <w:t>Email: noura.al-awadhi@example-health.test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DISCHARGE SUMMARY</w:t>
        <w:br/>
      </w:r>
      <w:r>
        <w:rPr>
          <w:rFonts w:ascii="Arial" w:hAnsi="Arial"/>
          <w:sz w:val="18"/>
        </w:rPr>
        <w:t>Admission Date: 28/07/2026</w:t>
        <w:br/>
      </w:r>
      <w:r>
        <w:rPr>
          <w:rFonts w:ascii="Arial" w:hAnsi="Arial"/>
          <w:sz w:val="18"/>
        </w:rPr>
        <w:t>Discharge Date: 02/08/2026</w:t>
        <w:br/>
      </w:r>
      <w:r>
        <w:rPr>
          <w:rFonts w:ascii="Arial" w:hAnsi="Arial"/>
          <w:sz w:val="18"/>
        </w:rPr>
        <w:t>Consultant: د. هدى العوضي</w:t>
        <w:br/>
      </w:r>
      <w:r>
        <w:rPr>
          <w:rFonts w:ascii="Arial" w:hAnsi="Arial"/>
          <w:sz w:val="18"/>
        </w:rPr>
        <w:t>Principal Diagnosis: Acute appendicitis</w:t>
        <w:br/>
      </w:r>
      <w:r>
        <w:rPr>
          <w:rFonts w:ascii="Arial" w:hAnsi="Arial"/>
          <w:sz w:val="18"/>
        </w:rPr>
        <w:t>Secondary Diagnoses: Hypertension; dyslipidemia.</w:t>
        <w:br/>
      </w:r>
      <w:r>
        <w:rPr>
          <w:rFonts w:ascii="Arial" w:hAnsi="Arial"/>
          <w:sz w:val="18"/>
        </w:rPr>
        <w:t>Hospital Course:</w:t>
        <w:br/>
      </w:r>
      <w:r>
        <w:rPr>
          <w:rFonts w:ascii="Arial" w:hAnsi="Arial"/>
          <w:sz w:val="18"/>
        </w:rPr>
        <w:t>The patient was admitted with fever, productive cough, and hypoxia. Chest radiograph demonstrated right lower-zone infiltrates. IV ceftriaxone and azithromycin were administered. Oxygen requirement improved and inflammatory markers declined.</w:t>
        <w:br/>
      </w:r>
      <w:r>
        <w:rPr>
          <w:rFonts w:ascii="Arial" w:hAnsi="Arial"/>
          <w:sz w:val="18"/>
        </w:rPr>
        <w:t>Discharge Medications:</w:t>
        <w:br/>
      </w:r>
      <w:r>
        <w:rPr>
          <w:rFonts w:ascii="Arial" w:hAnsi="Arial"/>
          <w:sz w:val="18"/>
        </w:rPr>
        <w:t>1. Amoxicillin/clavulanate 625 mg PO TID for 5 days.</w:t>
        <w:br/>
      </w:r>
      <w:r>
        <w:rPr>
          <w:rFonts w:ascii="Arial" w:hAnsi="Arial"/>
          <w:sz w:val="18"/>
        </w:rPr>
        <w:t>2. Paracetamol 1 g PO every 8 hours as needed.</w:t>
        <w:br/>
      </w:r>
      <w:r>
        <w:rPr>
          <w:rFonts w:ascii="Arial" w:hAnsi="Arial"/>
          <w:sz w:val="18"/>
        </w:rPr>
        <w:t>Follow-up:</w:t>
        <w:br/>
      </w:r>
      <w:r>
        <w:rPr>
          <w:rFonts w:ascii="Arial" w:hAnsi="Arial"/>
          <w:sz w:val="18"/>
        </w:rPr>
        <w:t>Internal Medicine Clinic in 7 days.</w:t>
        <w:br/>
      </w:r>
      <w:r>
        <w:rPr>
          <w:rFonts w:ascii="Arial" w:hAnsi="Arial"/>
          <w:sz w:val="18"/>
        </w:rPr>
        <w:t>Condition at Discharge: Stable.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CHK-78867209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