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1.5</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Phase 2 Understanding Foundation accepted — 714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Phase 1 Frozen; Phase 2 Foundation Checkpoint Accepted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13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Clinical Privacy Policy Engine remains frozen at its accepted Phase 1 POC checkpoint. Medical Document Understanding &amp; Recognition has reached the accepted Document Context &amp; Journey Foundation checkpoint at commit fa1a8ba68d66a3d40f40c8af3bf644f3b909191a. The verified repository baseline is 742 passed tests, 8 warnings, and no failures. These are engineering checkpoints, not production or clinical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contains an accepted Clinical Privacy Policy Engine POC and an accepted Medical Document Understanding &amp; Recognition Document Context &amp; Journey Foundation. Phase 2 reuses TXT/DOCX/text-based PDF extraction and DocumentContent, exposes standalone text/file APIs, and carries one retained document through MedNexusDocumentContext into the existing privacy pipeline without re-upload. The next milestone is Phase 2 Recognition Validation — Round 1 using a small representative healthcare-document set.</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r>
              <w:t>Foundation implemented: deterministic language detection, line-oriented structural sections, evidence-based classification, confidence/evidence, and symbolic routing. OCR, layout vision, tables, ML/LLM classification, and advanced extraction remain deferred.</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Phase 2 Document Context &amp; Journey Foundation is accepted; the next controlled milestone is Recognition Validation — Round 1 while preserving the authoritative privacy pipeline and stage boundaries.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 implemented TXT/DOCX/text-based PDF ingestion path, and an accepted Document Context &amp; Journey Foundation. The next immediate milestone is Recognition Validation — Round 1. The planned Custom Policy Builder remains a future differentiator and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public MEDNEXUS⁷ journey is: 01 Understand → 02 Protect → 03 Extract → 04 Standardize → 05 Analyze → 06 Visualize → 07 Indicators. INGEST remains an internal technical operation inside UNDERSTAND for file/text intake, extraction/parsing, and DocumentContent construction.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MEDNEXUS⁷ Enterprise Medical Document Intelligence homepage, /understanding as the standalone Understanding POC, and /privacy as the functional Clinical Privacy Policy Engine POC. The Deep Teal Hybrid experience and seven-transformation cinematic journey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p>
      <w:pPr>
        <w:pStyle w:val="Heading1"/>
      </w:pPr>
      <w:r>
        <w:t>21. Phase 2 Foundation Checkpoint — 13 August 2026</w:t>
      </w:r>
    </w:p>
    <w:p>
      <w:r>
        <w:t>Status: FOUNDATION CHECKPOINT ACCEPTED at commit a1e8ff2. Accepted baseline: 714 passed, 8 warnings, 0 failures; focused Phase 2 hardening suite: 33 passed. No Phase 1 regression was introduced.</w:t>
      </w:r>
    </w:p>
    <w:p>
      <w:pPr>
        <w:pStyle w:val="Heading2"/>
      </w:pPr>
      <w:r>
        <w:t>21.1 Implemented UNDERSTAND Boundary</w:t>
      </w:r>
    </w:p>
    <w:p>
      <w:r>
        <w:t>Source File / Text → existing ExtractorFactory → existing DocumentContent → language detection → structural section detection → evidence-based document classification → confidence and decision evidence → symbolic downstream routing. UNDERSTAND is independently usable and does not depend on Phase 1 privacy internals.</w:t>
      </w:r>
    </w:p>
    <w:p>
      <w:r>
        <w:t>The deterministic, explainable POC supports Radiology, Pathology, Laboratory, Emergency, Admission/Discharge, Public Health, and Unknown; English, Arabic, Mixed, and Unknown language results; and conservative radiology subtypes. UNKNOWN and low confidence are valid and preferred over forced classification.</w:t>
      </w:r>
    </w:p>
    <w:p>
      <w:r>
        <w:t>Section detection is line-oriented, supports LF/CRLF and aliases, produces complete non-overlapping ranges, and supplies structural evidence to classification. It is not OCR-, layout-, or vision-based.</w:t>
      </w:r>
    </w:p>
    <w:p>
      <w:r>
        <w:rPr>
          <w:sz w:val="21"/>
        </w:rPr>
        <w:t>Standalone APIs: POST /api/v1/understanding/analyze-text and POST /api/v1/understanding/analyze-file. Future extraction and terminology routes are symbolic recommendations only and do not imply implemented engines.</w:t>
      </w:r>
    </w:p>
    <w:p>
      <w:pPr>
        <w:pStyle w:val="Heading2"/>
      </w:pPr>
      <w:r>
        <w:rPr>
          <w:sz w:val="21"/>
        </w:rPr>
        <w:t>21.2 Deliberate Deferred Scope and Next Milestone</w:t>
      </w:r>
    </w:p>
    <w:p>
      <w:r>
        <w:rPr>
          <w:sz w:val="21"/>
        </w:rPr>
        <w:t>Deferred: OCR and scanned-document recognition, image/layout vision, table extraction, universal or ML/transformer/LLM classification, external classification services, embeddings/vector storage, advanced clinical extraction, FHIR, HL7, frontend/dashboard integration, and broad synthetic classifier tuning.</w:t>
      </w:r>
    </w:p>
    <w:p>
      <w:r>
        <w:rPr>
          <w:sz w:val="21"/>
        </w:rPr>
        <w:t>Next milestone: Phase 2 Recognition Validation — Round 1, using a small representative set across supported domains and ambiguous/UNKNOWN cases before classifier or frontend expansion.</w:t>
      </w:r>
    </w:p>
    <w:p>
      <w:r>
        <w:rPr>
          <w:sz w:val="21"/>
        </w:rPr>
        <w:br w:type="page"/>
      </w:r>
    </w:p>
    <w:p>
      <w:pPr>
        <w:pStyle w:val="Heading1"/>
      </w:pPr>
      <w:r>
        <w:rPr>
          <w:sz w:val="21"/>
        </w:rPr>
        <w:t>Architecture Addendum — Recognition Knowledge Layer v1</w:t>
      </w:r>
    </w:p>
    <w:p>
      <w:r>
        <w:rPr>
          <w:sz w:val="21"/>
        </w:rPr>
        <w:t>Version 1.6 · 13 August 2026</w:t>
      </w:r>
    </w:p>
    <w:p>
      <w:pPr>
        <w:pStyle w:val="Heading2"/>
      </w:pPr>
      <w:r>
        <w:rPr>
          <w:sz w:val="21"/>
        </w:rPr>
        <w:t>Implemented architecture</w:t>
      </w:r>
    </w:p>
    <w:p>
      <w:r>
        <w:rPr>
          <w:sz w:val="21"/>
        </w:rPr>
        <w:t>Medical Document Understanding now includes a MedNexus-owned, offline Recognition Knowledge Layer between normalized document evidence and deterministic classification. Radiology is the first implemented domain package.</w:t>
      </w:r>
    </w:p>
    <w:p>
      <w:r>
        <w:rPr>
          <w:sz w:val="21"/>
        </w:rPr>
        <w:t>Source Text / DocumentContent → Section and Language Detection → MedNexus Recognition Knowledge → Multi-signal Domain Signature → Explainable Classification → Symbolic Routing</w:t>
      </w:r>
    </w:p>
    <w:p>
      <w:pPr>
        <w:pStyle w:val="Heading2"/>
      </w:pPr>
      <w:r>
        <w:rPr>
          <w:sz w:val="21"/>
        </w:rPr>
        <w:t>Knowledge ownership and extensibility</w:t>
      </w:r>
    </w:p>
    <w:p>
      <w:pPr>
        <w:pStyle w:val="ListBullet"/>
      </w:pPr>
      <w:r>
        <w:rPr>
          <w:sz w:val="21"/>
        </w:rPr>
        <w:t>Typed concepts use stable MedNexus identifiers, bilingual canonical terms and aliases, evidence strength, allowed context, provenance families, and notes.</w:t>
      </w:r>
    </w:p>
    <w:p>
      <w:pPr>
        <w:pStyle w:val="ListBullet"/>
      </w:pPr>
      <w:r>
        <w:rPr>
          <w:sz w:val="21"/>
        </w:rPr>
        <w:t>Domain packages own sections, modality mappings, and recognition signatures. New domains extend the registry without creating a second classifier pipeline.</w:t>
      </w:r>
    </w:p>
    <w:p>
      <w:pPr>
        <w:pStyle w:val="ListBullet"/>
      </w:pPr>
      <w:r>
        <w:rPr>
          <w:sz w:val="21"/>
        </w:rPr>
        <w:t>Radiology Report recognition combines document/service identity, structural sections, supporting modality or author-role evidence, and competing-document safeguards. A modality mention alone is insufficient.</w:t>
      </w:r>
    </w:p>
    <w:p>
      <w:pPr>
        <w:pStyle w:val="ListBullet"/>
      </w:pPr>
      <w:r>
        <w:rPr>
          <w:sz w:val="21"/>
        </w:rPr>
        <w:t>External standards and terminologies are reference and traceability inputs only. LOINC Document Ontology, DICOM/DICOM SR, RSNA RadLex/Playbook/RadReport, SNOMED CT, HL7 CDA/C-CDA, and WHO ICD families do not make runtime recognition decisions.</w:t>
      </w:r>
    </w:p>
    <w:p>
      <w:pPr>
        <w:pStyle w:val="ListBullet"/>
      </w:pPr>
      <w:r>
        <w:rPr>
          <w:sz w:val="21"/>
        </w:rPr>
        <w:t>No external terminology service, ML model, embedding service, or external classifier is required at runtime for this POC.</w:t>
      </w:r>
    </w:p>
    <w:p>
      <w:pPr>
        <w:pStyle w:val="Heading2"/>
      </w:pPr>
      <w:r>
        <w:rPr>
          <w:sz w:val="21"/>
        </w:rPr>
        <w:t>Product result contract</w:t>
      </w:r>
    </w:p>
    <w:p>
      <w:r>
        <w:rPr>
          <w:sz w:val="21"/>
        </w:rPr>
        <w:t>The public recognition contract remains stable. The broad-audience workspace presents one primary vertical result (domain, type, subtype, primary language, confidence), followed by at most two default explanation blocks, a compact recommended journey, and collapsed technical traceability including concept IDs and reference families.</w:t>
      </w:r>
    </w:p>
    <w:p>
      <w:pPr>
        <w:pStyle w:val="Heading2"/>
      </w:pPr>
      <w:r>
        <w:rPr>
          <w:sz w:val="21"/>
        </w:rPr>
        <w:t>Validation state</w:t>
      </w:r>
    </w:p>
    <w:p>
      <w:r>
        <w:rPr>
          <w:sz w:val="21"/>
        </w:rPr>
        <w:t>The real Arabic CT sample MNX-01-03_Radiology_Arabic.txt resolves consistently through direct service and a fresh browser-backed API runtime as RADIOLOGY / RADIOLOGY_REPORT / CT / ARABIC with confidence 1.0 HIGH and five structural sections. Full regression status is recorded in current-state documentation after the final batch run.</w:t>
      </w:r>
    </w:p>
    <w:p>
      <w:r>
        <w:br w:type="page"/>
      </w:r>
    </w:p>
    <w:p>
      <w:pPr>
        <w:pStyle w:val="Heading1"/>
      </w:pPr>
      <w:r>
        <w:t>Architecture Addendum — MedNexus Document Context Foundation</w:t>
      </w:r>
    </w:p>
    <w:p>
      <w:r>
        <w:t>Phase 2 implementation clarification · 13 August 2026</w:t>
      </w:r>
    </w:p>
    <w:p>
      <w:pPr>
        <w:pStyle w:val="Heading2"/>
      </w:pPr>
      <w:r>
        <w:t>Shared journey contract</w:t>
      </w:r>
    </w:p>
    <w:p>
      <w:r>
        <w:t>MedNexusDocumentContext is the MedNexus-owned semantic representation of one ingested medical document. It is the reusable handoff from UNDERSTAND to PROTECT and future EXTRACT and STANDARDIZE capabilities.</w:t>
      </w:r>
    </w:p>
    <w:p>
      <w:r>
        <w:t>INGEST (DocumentContent) → UNDERSTAND (MedNexusDocumentContext) → PROTECT (original document plus context) → EXTRACT (future structured clinical data) → STANDARDIZE (future terminology normalization)</w:t>
      </w:r>
    </w:p>
    <w:p>
      <w:pPr>
        <w:pStyle w:val="Heading2"/>
      </w:pPr>
      <w:r>
        <w:t>Contract v1</w:t>
      </w:r>
    </w:p>
    <w:p>
      <w:pPr>
        <w:pStyle w:val="ListBullet"/>
      </w:pPr>
      <w:r>
        <w:t>Document: journey/document identifier, source format, primary language, source and ingestion metadata.</w:t>
      </w:r>
    </w:p>
    <w:p>
      <w:pPr>
        <w:pStyle w:val="ListBullet"/>
      </w:pPr>
      <w:r>
        <w:t>Identity: healthcare domain, document type/subtype, confidence, and confidence band.</w:t>
      </w:r>
    </w:p>
    <w:p>
      <w:pPr>
        <w:pStyle w:val="ListBullet"/>
      </w:pPr>
      <w:r>
        <w:t>Structure: canonical section ID, human semantic role, original heading, exact boundaries, and confidence.</w:t>
      </w:r>
    </w:p>
    <w:p>
      <w:pPr>
        <w:pStyle w:val="ListBullet"/>
      </w:pPr>
      <w:r>
        <w:t>Clinical context: conservative domain evidence such as modality, examination, body region, contrast, and domain concepts; not formal extraction.</w:t>
      </w:r>
    </w:p>
    <w:p>
      <w:pPr>
        <w:pStyle w:val="ListBullet"/>
      </w:pPr>
      <w:r>
        <w:t>Privacy context: semantic regions likely to carry patient, provider, facility, or authentication information; not duplicate identifier detection.</w:t>
      </w:r>
    </w:p>
    <w:p>
      <w:pPr>
        <w:pStyle w:val="ListBullet"/>
      </w:pPr>
      <w:r>
        <w:t>Processing context: symbolic privacy, extraction, and terminology profiles plus recommended capabilities and review state.</w:t>
      </w:r>
    </w:p>
    <w:p>
      <w:pPr>
        <w:pStyle w:val="ListBullet"/>
      </w:pPr>
      <w:r>
        <w:t>Provenance: knowledge-layer version, stable concept IDs, evidence, reference families, and warnings.</w:t>
      </w:r>
    </w:p>
    <w:p>
      <w:pPr>
        <w:pStyle w:val="Heading2"/>
      </w:pPr>
      <w:r>
        <w:t>Stage boundaries</w:t>
      </w:r>
    </w:p>
    <w:p>
      <w:r>
        <w:t>UNDERSTAND interprets document identity, structure, and reusable semantic context. It does not create the future formal clinical extraction output.</w:t>
      </w:r>
    </w:p>
    <w:p>
      <w:r>
        <w:t>PROTECT remains the Phase 1 MedNexus privacy-decision pipeline. The POC journey adapter passes retained original DocumentContent to the existing service and attaches context at the boundary; privacy internals remain unchanged.</w:t>
      </w:r>
    </w:p>
    <w:p>
      <w:r>
        <w:t>EXTRACT will create structured clinical facts. STANDARDIZE will normalize extracted facts against terminology systems. Neither capability is implemented by this context foundation.</w:t>
      </w:r>
    </w:p>
    <w:p>
      <w:pPr>
        <w:pStyle w:val="Heading2"/>
      </w:pPr>
      <w:r>
        <w:t>POC journey lifecycle</w:t>
      </w:r>
    </w:p>
    <w:p>
      <w:r>
        <w:t>A bounded process-local session retains DocumentContent together with MedNexusDocumentContext so the user uploads once and can continue from UNDERSTAND to PROTECT. This mechanism is non-durable, single-process, and explicitly not a database, distributed workflow, or production session architecture.</w:t>
      </w:r>
    </w:p>
    <w:p>
      <w:pPr>
        <w:pStyle w:val="Heading2"/>
      </w:pPr>
      <w:r>
        <w:t>Radiology reference implementation</w:t>
      </w:r>
    </w:p>
    <w:p>
      <w:r>
        <w:t>Radiology Context v1 uses the Recognition Knowledge Layer and deterministic evidence to construct modality, examination, body region, contrast, semantic structure, radiologist/authentication privacy context, processing recommendations, and provenance. Unsupported or ambiguous values remain null.</w:t>
      </w:r>
    </w:p>
    <w:p>
      <w:pPr>
        <w:pStyle w:val="Heading1"/>
      </w:pPr>
      <w:r>
        <w:t>Accepted Checkpoint Synchronization — 15 August 2026</w:t>
      </w:r>
    </w:p>
    <w:p>
      <w:r>
        <w:t>Status: ACCEPTED DOCUMENT CONTEXT &amp; JOURNEY FOUNDATION CHECKPOINT</w:t>
      </w:r>
    </w:p>
    <w:p>
      <w:r>
        <w:t>Accepted commit: fa1a8ba68d66a3d40f40c8af3bf644f3b909191a. Previous Phase 2 checkpoints: a1e8ff2 (foundation) and 551be07 (documentation synchronization). Phase 1 remains frozen at 3486c206085652e2edac2574d277ff0970e037e2.</w:t>
      </w:r>
    </w:p>
    <w:p>
      <w:r>
        <w:t>Canonical public journey: UNDERSTAND -&gt; PROTECT -&gt; EXTRACT -&gt; STANDARDIZE -&gt; ANALYZE -&gt; VISUALIZE -&gt; INDICATORS. INGEST remains an internal technical operation inside UNDERSTAND. MedNexusDocumentContext is the reusable semantic handoff between stages. UNDERSTAND produces document identity, structure, clinical context, privacy context, processing context, and provenance.</w:t>
      </w:r>
    </w:p>
    <w:p>
      <w:r>
        <w:t>Current POC flow: upload once -&gt; INGEST -&gt; UNDERSTAND -&gt; MedNexusDocumentContext -&gt; Continue to Privacy Protection -&gt; existing Phase 1 privacy pipeline, without a second upload. The retained filename and document status remain visible during handoff.</w:t>
      </w:r>
    </w:p>
    <w:p>
      <w:r>
        <w:t>Recognition Knowledge Layer v1 provides MedNexus-owned multilingual concepts, domain signatures, evidence interpretation, and external-reference provenance, with Radiology as the first reference domain. LOINC Document Ontology, DICOM/Structured Reporting, RSNA RadLex/Playbook/RadReport, SNOMED CT, HL7 CDA/C-CDA, and WHO ICD-10/ICD-11 are reference inputs only; MedNexus owns curation, normalization, signatures, context construction, and decision logic.</w:t>
      </w:r>
    </w:p>
    <w:p>
      <w:r>
        <w:t>Progressive Result Reveal is frontend presentation of a completed authoritative output, not backend streaming. Final accepted regression baseline: 742 passed, 8 warnings, 0 failures. Documentation synchronization remains mandatory after meaningful checkpoints.</w:t>
      </w:r>
    </w:p>
    <w:p>
      <w:pPr>
        <w:pStyle w:val="Heading1"/>
      </w:pPr>
      <w:r>
        <w:t>Product Architecture Synchronization — MEDNEXUS⁷</w:t>
      </w:r>
    </w:p>
    <w:p>
      <w:r>
        <w:t>Public signature: MEDNEXUS⁷ — One document. Seven intelligent transformations.</w:t>
      </w:r>
    </w:p>
    <w:p>
      <w:r>
        <w:t>The superscript 7 is a visual/product brand signature. Internal code identifiers, Python packages, classes, APIs, routes, repository names, session identifiers, and runtime contracts remain MedNexus. MedNexus7 is a textual fallback only where superscript typography is unavailable.</w:t>
      </w:r>
    </w:p>
    <w:p>
      <w:r>
        <w:t>Public transformation model: 01 UNDERSTAND; 02 PROTECT; 03 EXTRACT; 04 STANDARDIZE; 05 ANALYZE; 06 VISUALIZE; 07 INDICATORS.</w:t>
      </w:r>
    </w:p>
    <w:p>
      <w:r>
        <w:t>Technical clarification: INGEST remains fully implemented as file/text intake, extraction/parsing, and DocumentContent construction within the public UNDERSTAND transformation. No ingestion module, extractor, API, route, or backend contract is renamed or merged.</w:t>
      </w:r>
    </w:p>
    <w:p>
      <w:r>
        <w:t>At each transformation MedNexus adds a governed proprietary layer of document understanding, privacy decisions, structured clinical interpretation, terminology normalization, analysis, visualization, or indicator generation. The seven-stage journey is the MedNexus public product-architecture signature. Verification for this UI/product-architecture update: 743 passed, 8 warnings, 0 failures.</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and Engineering Blueprint v1.4</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