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1.2</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Clinical Privacy Policy Engine validated baseline — 671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Unified Intelligence + Purpose-Based Policy Engine Integrated and Validated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10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current De-identification capability is implemented as a Clinical Privacy Policy Engine, not merely an anonymizer. Its authoritative flow is Detection → Unified Intelligence → Purpose-Based Policy Engine → MedNexusOutputBuilder → MedNexus-owned output. Context-rule, deterministic, and OpenMed candidates converge through one Intelligence pipeline. OpenMed remains candidate-only and its deidentified_text is non-authoritative. The verified regression baseline is 671 passed tests, 8 warnings, and no failures. This is strong Phase 1 engineering evidence, not production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is a validated alpha foundation for the Clinical Privacy Policy Engine. Text and TXT/DOCX/text-based PDF paths use the same policy resolver and authoritative pipeline, with a 671-test regression baseline. This does not constitute production certification. The next immediate product milestone is the MedNexus Frontend Redesign / Policy Experience.</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14:paraId="29348167" w14:textId="77777777" w:rsidR="00632D2B" w:rsidRDefault="00000000">
            <w:r>
              <w:rPr>
                <w:sz w:val="18"/>
              </w:rPr>
              <w:t>Classification, sections, fields, layout, tables, language, and metadata.</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immediate product priority is the MedNexus Frontend Redesign / Policy Experience while preserving the authoritative pipeline and policy semantics.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and an implemented TXT/DOCX/text-based PDF ingestion path. The next immediate milestone is the Frontend Redesign / Policy Experience. The planned Custom Policy Builder is a major product differentiator, but it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enterprise target journey is: 01 Ingest → 02 Understand → 03 Protect → 04 Extract → 05 Standardize → 06 Analyze → 07 Visualize → 08 Indicators.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 Enterprise Medical Document Intelligence homepage and /privacy as the functional Clinical Privacy Policy Engine POC. The Deep Teal Hybrid experience, cinematic document journey, and eight-stage narrative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and Engineering Blueprint v1.3</dc:title>
  <dc:subject>Enterprise platform vision and current architecture baseline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