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1.2</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Clinical Privacy Policy Engine validated baseline — 671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Unified Intelligence + Purpose-Based Policy Engine Integrated and Validated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10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current De-identification capability is implemented as a Clinical Privacy Policy Engine, not merely an anonymizer. Its authoritative flow is Detection → Unified Intelligence → Purpose-Based Policy Engine → MedNexusOutputBuilder → MedNexus-owned output. Context-rule, deterministic, and OpenMed candidates converge through one Intelligence pipeline. OpenMed remains candidate-only and its deidentified_text is non-authoritative. The verified regression baseline is 671 passed tests, 8 warnings, and no failures. This is strong Phase 1 engineering evidence, not production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is a validated alpha foundation for the Clinical Privacy Policy Engine. Text and TXT/DOCX/text-based PDF paths use the same policy resolver and authoritative pipeline, with a 671-test regression baseline. This does not constitute production certification. The next immediate product milestone is the MedNexus Frontend Redesign / Policy Experience.</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14:paraId="29348167" w14:textId="77777777" w:rsidR="00632D2B" w:rsidRDefault="00000000">
            <w:r>
              <w:rPr>
                <w:sz w:val="18"/>
              </w:rPr>
              <w:t>Classification, sections, fields, layout, tables, language, and metadata.</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immediate product priority is the MedNexus Frontend Redesign / Policy Experience while preserving the authoritative pipeline and policy semantics.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and an implemented TXT/DOCX/text-based PDF ingestion path. The next immediate milestone is the Frontend Redesign / Policy Experience. The planned Custom Policy Builder is a major product differentiator, but it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enterprise target journey is: 01 Ingest → 02 Understand → 03 Protect → 04 Extract → 05 Standardize → 06 Analyze → 07 Visualize → 08 Indicators.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 Enterprise Medical Document Intelligence homepage and /privacy as the functional Clinical Privacy Policy Engine POC. The Deep Teal Hybrid experience, cinematic document journey, and eight-stage narrative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p>
      <w:r>
        <w:br w:type="page"/>
      </w:r>
    </w:p>
    <w:p>
      <w:pPr>
        <w:pStyle w:val="Heading1"/>
      </w:pPr>
      <w:r>
        <w:t>Phase 1 Clinical Privacy Policy Engine — Accepted POC Checkpoint</w:t>
      </w:r>
    </w:p>
    <w:p>
      <w:r>
        <w:rPr>
          <w:b/>
        </w:rPr>
        <w:t xml:space="preserve">Checkpoint status: </w:t>
      </w:r>
      <w:r>
        <w:t>Phase 1 — Accepted POC Checkpoint / Paused. The architecture and current synthetic acceptance baseline are frozen; this is not production certification, exhaustive clinical validation, or a claim that all privacy edge cases are solved.</w:t>
      </w:r>
    </w:p>
    <w:p>
      <w:pPr>
        <w:pStyle w:val="Heading2"/>
      </w:pPr>
      <w:r>
        <w:t>Final Authoritative Architecture</w:t>
      </w:r>
    </w:p>
    <w:p>
      <w:pPr>
        <w:spacing w:after="120"/>
      </w:pPr>
      <w:r>
        <w:t>Medical document or text → supported extraction → MedNexus contextual and deterministic detection plus OpenMed external candidates → MedNexus candidate canonicalization → RoleResolver → ContextValidator → DetectionMerger and orchestration → purpose-based Clinical Privacy Policy Engine → MedNexusOutputBuilder → MedNexus-owned protected output.</w:t>
      </w:r>
    </w:p>
    <w:p>
      <w:pPr>
        <w:spacing w:after="120"/>
      </w:pPr>
      <w:r>
        <w:t>OpenMed remains external, replaceable, and candidate-only. Its deidentified_text is non-authoritative. MedNexus owns contextual interpretation, role resolution, validation, conflict decisions, policy actions, transformations, and final output construction.</w:t>
      </w:r>
    </w:p>
    <w:p>
      <w:pPr>
        <w:pStyle w:val="Heading2"/>
        <w:spacing w:after="120"/>
      </w:pPr>
      <w:r>
        <w:t>Purpose Profiles and Executable Actions</w:t>
      </w:r>
    </w:p>
    <w:p>
      <w:pPr>
        <w:spacing w:after="120"/>
      </w:pPr>
      <w:r>
        <w:t>Canonical profiles are MEDNEXUS_CLINICAL, MEDNEXUS_RESEARCH, MEDNEXUS_ANALYTICS_PUBLIC_HEALTH, and MEDNEXUS_STRICT_PRIVACY. Current executable actions are KEEP, REPLACE, HASH, MASK, and REMOVE. Advanced transformations remain planned.</w:t>
      </w:r>
    </w:p>
    <w:p>
      <w:pPr>
        <w:pStyle w:val="Heading2"/>
        <w:spacing w:after="120"/>
      </w:pPr>
      <w:r>
        <w:t>Final Targeted Acceptance Corrections</w:t>
      </w:r>
    </w:p>
    <w:p>
      <w:pPr>
        <w:spacing w:after="120"/>
      </w:pPr>
      <w:r>
        <w:t>Formatted international phone candidates now pass conservative validation when they contain an appropriate digit count and common separators, allowing the selected policy to protect values such as +123 456 7890.</w:t>
      </w:r>
    </w:p>
    <w:p>
      <w:pPr>
        <w:spacing w:after="120"/>
      </w:pPr>
      <w:r>
        <w:t>Explicit Reporting Physician, Admitting Consultant, and Consultant Pathologist contexts now feed clinician role resolution consistently. Professional labels and titles such as Dr. and د. remain outside the personal-name span; the purpose profile governs KEEP or transformation.</w:t>
      </w:r>
    </w:p>
    <w:p>
      <w:pPr>
        <w:spacing w:after="120"/>
      </w:pPr>
      <w:r>
        <w:t>Supported Arabic professional fields, including طبيب الأشعة and existing Arabic pathologist equivalents, now produce complete clinician-name spans so fragmented external candidates cannot cause partial identity transformation in the targeted scenarios.</w:t>
      </w:r>
    </w:p>
    <w:p>
      <w:pPr>
        <w:pStyle w:val="Heading2"/>
        <w:spacing w:after="120"/>
      </w:pPr>
      <w:r>
        <w:t>Synthetic Acceptance Baseline</w:t>
      </w:r>
    </w:p>
    <w:p>
      <w:pPr>
        <w:spacing w:after="120"/>
      </w:pPr>
      <w:r>
        <w:t>Targeted acceptance verification: 103 passed, 7 warnings.</w:t>
      </w:r>
    </w:p>
    <w:p>
      <w:pPr>
        <w:spacing w:after="120"/>
      </w:pPr>
      <w:r>
        <w:t>Full regression: 681 passed, 8 warnings, 0 failures.</w:t>
      </w:r>
    </w:p>
    <w:p>
      <w:pPr>
        <w:spacing w:after="120"/>
      </w:pPr>
      <w:r>
        <w:t>The engineering decision is to stop synthetic perfection loops after proving the architecture, fixing clear privacy blockers, preserving clinical meaning, and establishing regression protection.</w:t>
      </w:r>
    </w:p>
    <w:p>
      <w:pPr>
        <w:pStyle w:val="Heading2"/>
        <w:spacing w:after="120"/>
      </w:pPr>
      <w:r>
        <w:t>Deferred Validation and Product Boundary</w:t>
      </w:r>
    </w:p>
    <w:p>
      <w:pPr>
        <w:spacing w:after="120"/>
      </w:pPr>
      <w:r>
        <w:t>Broader real medical-report validation, additional cases discovered from real reports, broader multilingual clinician/person-name coverage, OCR, production hardening, load/performance validation, formal benchmark expansion, and remaining frontend polish are intentionally deferred.</w:t>
      </w:r>
    </w:p>
    <w:p>
      <w:pPr>
        <w:spacing w:after="120"/>
      </w:pPr>
      <w:r>
        <w:t>Future real-document validation is expected to reveal additional cases. The accepted POC checkpoint must not be represented as production readiness, exhaustive privacy coverage, clinical certification, or completed real-world acceptance.</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and Engineering Blueprint v1.4</dc:title>
  <dc:subject>Phase 1 Clinical Privacy Policy Engine accepted POC checkpoint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