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C282" w14:textId="77777777" w:rsidR="00632D2B" w:rsidRDefault="00000000">
      <w:pPr>
        <w:jc w:val="center"/>
      </w:pPr>
      <w:r>
        <w:rPr>
          <w:rFonts w:ascii="Aptos Display" w:hAnsi="Aptos Display"/>
          <w:b/>
          <w:color w:val="1E4E8C"/>
          <w:sz w:val="68"/>
        </w:rPr>
        <w:t>MedNexus</w:t>
      </w:r>
    </w:p>
    <w:p w14:paraId="39A5B91D" w14:textId="77777777" w:rsidR="00632D2B" w:rsidRDefault="00000000">
      <w:pPr>
        <w:jc w:val="center"/>
      </w:pPr>
      <w:r>
        <w:rPr>
          <w:b/>
          <w:color w:val="12284B"/>
          <w:sz w:val="44"/>
        </w:rPr>
        <w:t>Enterprise Architecture &amp; Engineering Blueprint</w:t>
      </w:r>
    </w:p>
    <w:p w14:paraId="25BB56BE" w14:textId="77777777" w:rsidR="00632D2B" w:rsidRDefault="00000000">
      <w:pPr>
        <w:pStyle w:val="BlueprintSubtitle"/>
        <w:jc w:val="center"/>
      </w:pPr>
      <w:r>
        <w:t>Project Baseline Review and Fixed Development Direction</w:t>
      </w:r>
    </w:p>
    <w:p w14:paraId="1EFB7C42" w14:textId="77777777" w:rsidR="00632D2B" w:rsidRDefault="00632D2B"/>
    <w:p w14:paraId="30DAC386" w14:textId="77777777" w:rsidR="00632D2B" w:rsidRDefault="00000000">
      <w:pPr>
        <w:jc w:val="center"/>
      </w:pPr>
      <w:r>
        <w:rPr>
          <w:noProof/>
        </w:rPr>
        <w:drawing>
          <wp:inline distT="0" distB="0" distL="0" distR="0" wp14:anchorId="2680E8BC" wp14:editId="3A6D2B25">
            <wp:extent cx="658368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Nexus Arcticutre.png"/>
                    <pic:cNvPicPr/>
                  </pic:nvPicPr>
                  <pic:blipFill>
                    <a:blip r:embed="rId8"/>
                    <a:stretch>
                      <a:fillRect/>
                    </a:stretch>
                  </pic:blipFill>
                  <pic:spPr>
                    <a:xfrm>
                      <a:off x="0" y="0"/>
                      <a:ext cx="6583680" cy="4389120"/>
                    </a:xfrm>
                    <a:prstGeom prst="rect">
                      <a:avLst/>
                    </a:prstGeom>
                  </pic:spPr>
                </pic:pic>
              </a:graphicData>
            </a:graphic>
          </wp:inline>
        </w:drawing>
      </w:r>
    </w:p>
    <w:p w14:paraId="538BB376" w14:textId="77777777" w:rsidR="00632D2B" w:rsidRDefault="00632D2B"/>
    <w:tbl>
      <w:tblPr>
        <w:tblStyle w:val="TableGrid"/>
        <w:tblW w:w="0" w:type="auto"/>
        <w:jc w:val="center"/>
        <w:tblLook w:val="04A0" w:firstRow="1" w:lastRow="0" w:firstColumn="1" w:lastColumn="0" w:noHBand="0" w:noVBand="1"/>
      </w:tblPr>
      <w:tblGrid>
        <w:gridCol w:w="2880"/>
        <w:gridCol w:w="7200"/>
      </w:tblGrid>
      <w:tr w:rsidR="00632D2B" w14:paraId="17FF7E55" w14:textId="77777777">
        <w:trPr>
          <w:jc w:val="center"/>
        </w:trPr>
        <w:tc>
          <w:tcPr>
            <w:tcW w:w="2880" w:type="dxa"/>
            <w:shd w:val="clear" w:color="auto" w:fill="173768"/>
            <w:vAlign w:val="center"/>
          </w:tcPr>
          <w:p w14:paraId="31709028" w14:textId="77777777" w:rsidR="00632D2B" w:rsidRDefault="00000000">
            <w:r>
              <w:rPr>
                <w:b/>
                <w:color w:val="FFFFFF"/>
                <w:sz w:val="18"/>
              </w:rPr>
              <w:t>Document Control</w:t>
            </w:r>
          </w:p>
        </w:tc>
        <w:tc>
          <w:tcPr>
            <w:tcW w:w="7200" w:type="dxa"/>
            <w:shd w:val="clear" w:color="auto" w:fill="173768"/>
            <w:vAlign w:val="center"/>
          </w:tcPr>
          <w:p w14:paraId="465723A6" w14:textId="77777777" w:rsidR="00632D2B" w:rsidRDefault="00000000">
            <w:r>
              <w:rPr>
                <w:b/>
                <w:color w:val="FFFFFF"/>
                <w:sz w:val="18"/>
              </w:rPr>
              <w:t>Value</w:t>
            </w:r>
          </w:p>
        </w:tc>
      </w:tr>
      <w:tr w:rsidR="00632D2B" w14:paraId="20857D03" w14:textId="77777777">
        <w:trPr>
          <w:jc w:val="center"/>
        </w:trPr>
        <w:tc>
          <w:tcPr>
            <w:tcW w:w="2880" w:type="dxa"/>
            <w:vAlign w:val="center"/>
          </w:tcPr>
          <w:p w14:paraId="3F9E535A" w14:textId="77777777" w:rsidR="00632D2B" w:rsidRDefault="00000000">
            <w:r>
              <w:rPr>
                <w:sz w:val="18"/>
              </w:rPr>
              <w:t>Document Version</w:t>
            </w:r>
          </w:p>
        </w:tc>
        <w:tc>
          <w:tcPr>
            <w:tcW w:w="7200" w:type="dxa"/>
            <w:vAlign w:val="center"/>
          </w:tcPr>
          <w:p>
            <w:r>
              <w:t>1.5</w:t>
            </w:r>
          </w:p>
        </w:tc>
      </w:tr>
      <w:tr w:rsidR="00632D2B" w14:paraId="7230400A" w14:textId="77777777">
        <w:trPr>
          <w:jc w:val="center"/>
        </w:trPr>
        <w:tc>
          <w:tcPr>
            <w:tcW w:w="2880" w:type="dxa"/>
            <w:shd w:val="clear" w:color="auto" w:fill="F3F6FA"/>
            <w:vAlign w:val="center"/>
          </w:tcPr>
          <w:p w14:paraId="3C19A1D9" w14:textId="77777777" w:rsidR="00632D2B" w:rsidRDefault="00000000">
            <w:r>
              <w:rPr>
                <w:sz w:val="18"/>
              </w:rPr>
              <w:t>Project</w:t>
            </w:r>
          </w:p>
        </w:tc>
        <w:tc>
          <w:tcPr>
            <w:tcW w:w="7200" w:type="dxa"/>
            <w:shd w:val="clear" w:color="auto" w:fill="F3F6FA"/>
            <w:vAlign w:val="center"/>
          </w:tcPr>
          <w:p w14:paraId="3E62DFCB" w14:textId="77777777" w:rsidR="00632D2B" w:rsidRDefault="00000000">
            <w:r>
              <w:rPr>
                <w:sz w:val="18"/>
              </w:rPr>
              <w:t>MedNexus</w:t>
            </w:r>
          </w:p>
        </w:tc>
      </w:tr>
      <w:tr w:rsidR="00632D2B" w14:paraId="2D7A1F6A" w14:textId="77777777">
        <w:trPr>
          <w:jc w:val="center"/>
        </w:trPr>
        <w:tc>
          <w:tcPr>
            <w:tcW w:w="2880" w:type="dxa"/>
            <w:vAlign w:val="center"/>
          </w:tcPr>
          <w:p w14:paraId="4015C2E8" w14:textId="2E62FC75" w:rsidR="00632D2B" w:rsidRDefault="00A76ED2" w:rsidP="00A76ED2">
            <w:r w:rsidRPr="00A76ED2">
              <w:rPr>
                <w:sz w:val="18"/>
              </w:rPr>
              <w:t>Current Stable Baseline</w:t>
            </w:r>
          </w:p>
        </w:tc>
        <w:tc>
          <w:tcPr>
            <w:tcW w:w="7200" w:type="dxa"/>
            <w:vAlign w:val="center"/>
          </w:tcPr>
          <w:p>
            <w:r>
              <w:t>Phase 2 Understanding Foundation accepted — 714 tests passed</w:t>
            </w:r>
          </w:p>
        </w:tc>
      </w:tr>
      <w:tr w:rsidR="00632D2B" w14:paraId="7C346D48" w14:textId="77777777">
        <w:trPr>
          <w:jc w:val="center"/>
        </w:trPr>
        <w:tc>
          <w:tcPr>
            <w:tcW w:w="2880" w:type="dxa"/>
            <w:shd w:val="clear" w:color="auto" w:fill="F3F6FA"/>
            <w:vAlign w:val="center"/>
          </w:tcPr>
          <w:p w14:paraId="41140318" w14:textId="77777777" w:rsidR="00632D2B" w:rsidRDefault="00000000">
            <w:r>
              <w:rPr>
                <w:sz w:val="18"/>
              </w:rPr>
              <w:t>Review Scope</w:t>
            </w:r>
          </w:p>
        </w:tc>
        <w:tc>
          <w:tcPr>
            <w:tcW w:w="7200" w:type="dxa"/>
            <w:shd w:val="clear" w:color="auto" w:fill="F3F6FA"/>
            <w:vAlign w:val="center"/>
          </w:tcPr>
          <w:p w14:paraId="37C7848A" w14:textId="77777777" w:rsidR="00632D2B" w:rsidRDefault="00000000">
            <w:r>
              <w:rPr>
                <w:sz w:val="18"/>
              </w:rPr>
              <w:t>Full uploaded project package, source code, tests, dependencies, datasets, architecture assets, and development artifacts</w:t>
            </w:r>
          </w:p>
        </w:tc>
      </w:tr>
      <w:tr w:rsidR="00632D2B" w14:paraId="17E18778" w14:textId="77777777">
        <w:trPr>
          <w:jc w:val="center"/>
        </w:trPr>
        <w:tc>
          <w:tcPr>
            <w:tcW w:w="2880" w:type="dxa"/>
            <w:vAlign w:val="center"/>
          </w:tcPr>
          <w:p w14:paraId="02516A7B" w14:textId="77777777" w:rsidR="00632D2B" w:rsidRDefault="00000000">
            <w:r>
              <w:rPr>
                <w:sz w:val="18"/>
              </w:rPr>
              <w:t>Status</w:t>
            </w:r>
          </w:p>
        </w:tc>
        <w:tc>
          <w:tcPr>
            <w:tcW w:w="7200" w:type="dxa"/>
            <w:vAlign w:val="center"/>
          </w:tcPr>
          <w:p>
            <w:r>
              <w:t>Phase 1 Frozen; Phase 2 Foundation Checkpoint Accepted</w:t>
            </w:r>
          </w:p>
        </w:tc>
      </w:tr>
      <w:tr w:rsidR="00632D2B" w14:paraId="48118F2B" w14:textId="77777777">
        <w:trPr>
          <w:jc w:val="center"/>
        </w:trPr>
        <w:tc>
          <w:tcPr>
            <w:tcW w:w="2880" w:type="dxa"/>
            <w:shd w:val="clear" w:color="auto" w:fill="F3F6FA"/>
            <w:vAlign w:val="center"/>
          </w:tcPr>
          <w:p w14:paraId="4216BA6F" w14:textId="77777777" w:rsidR="00632D2B" w:rsidRDefault="00000000">
            <w:r>
              <w:rPr>
                <w:sz w:val="18"/>
              </w:rPr>
              <w:t>Date</w:t>
            </w:r>
          </w:p>
        </w:tc>
        <w:tc>
          <w:tcPr>
            <w:tcW w:w="7200" w:type="dxa"/>
            <w:shd w:val="clear" w:color="auto" w:fill="F3F6FA"/>
            <w:vAlign w:val="center"/>
          </w:tcPr>
          <w:p>
            <w:r>
              <w:t>13 August 2026</w:t>
            </w:r>
          </w:p>
        </w:tc>
      </w:tr>
      <w:tr w:rsidR="00C24CA7" w14:paraId="64F97761" w14:textId="77777777">
        <w:trPr>
          <w:jc w:val="center"/>
        </w:trPr>
        <w:tc>
          <w:tcPr>
            <w:tcW w:w="2880" w:type="dxa"/>
            <w:shd w:val="clear" w:color="auto" w:fill="F3F6FA"/>
            <w:vAlign w:val="center"/>
          </w:tcPr>
          <w:p w14:paraId="7D58044A" w14:textId="30FE10ED" w:rsidR="00C24CA7" w:rsidRDefault="00C24CA7" w:rsidP="00C24CA7">
            <w:pPr>
              <w:rPr>
                <w:sz w:val="18"/>
              </w:rPr>
            </w:pPr>
            <w:r w:rsidRPr="00C24CA7">
              <w:rPr>
                <w:sz w:val="18"/>
              </w:rPr>
              <w:t>Revision Date</w:t>
            </w:r>
          </w:p>
        </w:tc>
        <w:tc>
          <w:tcPr>
            <w:tcW w:w="7200" w:type="dxa"/>
            <w:shd w:val="clear" w:color="auto" w:fill="F3F6FA"/>
            <w:vAlign w:val="center"/>
          </w:tcPr>
          <w:p w14:paraId="34A97BA7" w14:textId="2563E5A6" w:rsidR="00C24CA7" w:rsidRDefault="00C24CA7" w:rsidP="00C24CA7">
            <w:pPr>
              <w:rPr>
                <w:sz w:val="18"/>
              </w:rPr>
            </w:pPr>
            <w:r w:rsidRPr="00C24CA7">
              <w:rPr>
                <w:sz w:val="18"/>
              </w:rPr>
              <w:t>22 July 2026</w:t>
            </w:r>
          </w:p>
        </w:tc>
      </w:tr>
    </w:tbl>
    <w:p w14:paraId="64AE523D" w14:textId="77777777" w:rsidR="00632D2B" w:rsidRDefault="00632D2B"/>
    <w:p w14:paraId="0E95E466" w14:textId="77777777" w:rsidR="00632D2B" w:rsidRDefault="00000000">
      <w:pPr>
        <w:jc w:val="center"/>
      </w:pPr>
      <w:r>
        <w:rPr>
          <w:i/>
          <w:color w:val="464646"/>
          <w:sz w:val="22"/>
        </w:rPr>
        <w:t>An Enterprise Medical Document Intelligence Platform powered by open-source Medical AI engines</w:t>
      </w:r>
    </w:p>
    <w:p w14:paraId="2767E8A9" w14:textId="77777777" w:rsidR="00632D2B" w:rsidRDefault="00000000">
      <w:r>
        <w:lastRenderedPageBreak/>
        <w:br w:type="page"/>
      </w:r>
    </w:p>
    <w:p w14:paraId="5855596F" w14:textId="77777777" w:rsidR="00632D2B" w:rsidRDefault="00000000">
      <w:pPr>
        <w:pStyle w:val="Heading1"/>
      </w:pPr>
      <w:r>
        <w:lastRenderedPageBreak/>
        <w:t>Document Contents</w:t>
      </w:r>
    </w:p>
    <w:p w14:paraId="5D54E072" w14:textId="77777777" w:rsidR="00632D2B" w:rsidRDefault="00000000">
      <w:r>
        <w:t>1. Executive Decision</w:t>
      </w:r>
    </w:p>
    <w:p w14:paraId="1C336F8D" w14:textId="77777777" w:rsidR="00632D2B" w:rsidRDefault="00000000">
      <w:r>
        <w:t>2. Project Definition and Fixed Vision</w:t>
      </w:r>
    </w:p>
    <w:p w14:paraId="7C4B2A8B" w14:textId="77777777" w:rsidR="00632D2B" w:rsidRDefault="00000000">
      <w:r>
        <w:t>3. What Was Reviewed</w:t>
      </w:r>
    </w:p>
    <w:p w14:paraId="6AAC0AC8" w14:textId="77777777" w:rsidR="00632D2B" w:rsidRDefault="00000000">
      <w:r>
        <w:t>4. The Role of .venv, Libraries, OpenMed, and External Models</w:t>
      </w:r>
    </w:p>
    <w:p w14:paraId="65269743" w14:textId="77777777" w:rsidR="00632D2B" w:rsidRDefault="00000000">
      <w:r>
        <w:t>5. Current Project Baseline</w:t>
      </w:r>
    </w:p>
    <w:p w14:paraId="1485C1CE" w14:textId="77777777" w:rsidR="00632D2B" w:rsidRDefault="00000000">
      <w:r>
        <w:t>6. Current Architecture Assessment</w:t>
      </w:r>
    </w:p>
    <w:p w14:paraId="6A68B4DB" w14:textId="77777777" w:rsidR="00632D2B" w:rsidRDefault="00000000">
      <w:r>
        <w:t>7. Architectural Problems Identified — Current Resolution Status</w:t>
      </w:r>
    </w:p>
    <w:p w14:paraId="4DEF182A" w14:textId="77777777" w:rsidR="00632D2B" w:rsidRDefault="00000000">
      <w:r>
        <w:t>8. Target MedNexus Architecture</w:t>
      </w:r>
    </w:p>
    <w:p w14:paraId="687EDE98" w14:textId="77777777" w:rsidR="00632D2B" w:rsidRDefault="00000000">
      <w:r>
        <w:t>9. Medical Document Intelligence Processing Pipeline</w:t>
      </w:r>
    </w:p>
    <w:p w14:paraId="662E572A" w14:textId="77777777" w:rsidR="00632D2B" w:rsidRDefault="00000000">
      <w:r>
        <w:t>10. De-identification Detection Architecture</w:t>
      </w:r>
    </w:p>
    <w:p w14:paraId="1AD2E052" w14:textId="77777777" w:rsidR="00632D2B" w:rsidRDefault="00000000">
      <w:r>
        <w:t>11. Clinical Information Extraction Architecture</w:t>
      </w:r>
    </w:p>
    <w:p w14:paraId="26F45925" w14:textId="77777777" w:rsidR="00632D2B" w:rsidRDefault="00000000">
      <w:r>
        <w:t>12. Terminology Normalization and Structured Data</w:t>
      </w:r>
    </w:p>
    <w:p w14:paraId="070CB27E" w14:textId="77777777" w:rsidR="00632D2B" w:rsidRDefault="00000000">
      <w:r>
        <w:t>13. Analytics, Statistics, and Indicators</w:t>
      </w:r>
    </w:p>
    <w:p w14:paraId="0D283B48" w14:textId="77777777" w:rsidR="00632D2B" w:rsidRDefault="00000000">
      <w:r>
        <w:t>14. Engine-Agnostic Open-Source AI Strategy</w:t>
      </w:r>
    </w:p>
    <w:p w14:paraId="5B76F2C6" w14:textId="77777777" w:rsidR="00632D2B" w:rsidRDefault="00000000">
      <w:r>
        <w:t>15. Testing and Validation Strategy</w:t>
      </w:r>
    </w:p>
    <w:p w14:paraId="7D4C89EA" w14:textId="77777777" w:rsidR="00632D2B" w:rsidRDefault="00000000">
      <w:r>
        <w:t>16. Security, Privacy, and Deployment Principles</w:t>
      </w:r>
    </w:p>
    <w:p w14:paraId="7C53DD1A" w14:textId="77777777" w:rsidR="00632D2B" w:rsidRDefault="00000000">
      <w:r>
        <w:t>17. Fixed Product Roadmap</w:t>
      </w:r>
    </w:p>
    <w:p w14:paraId="38561B77" w14:textId="77777777" w:rsidR="00632D2B" w:rsidRDefault="00000000">
      <w:r>
        <w:t>18. Immediate Engineering Plan — Updated 10 August 2026</w:t>
      </w:r>
    </w:p>
    <w:p w14:paraId="5A688928" w14:textId="77777777" w:rsidR="00632D2B" w:rsidRDefault="00000000">
      <w:r>
        <w:t>19. Architecture Decisions Locked by This Document</w:t>
      </w:r>
    </w:p>
    <w:p w14:paraId="7762B711" w14:textId="77777777" w:rsidR="00632D2B" w:rsidRDefault="00000000">
      <w:r>
        <w:t>20. Conclusion</w:t>
      </w:r>
    </w:p>
    <w:p w14:paraId="21160AD4" w14:textId="77777777" w:rsidR="00632D2B" w:rsidRDefault="00000000">
      <w:r>
        <w:br w:type="page"/>
      </w:r>
    </w:p>
    <w:p w14:paraId="65AA2009" w14:textId="77777777" w:rsidR="00632D2B" w:rsidRDefault="00000000">
      <w:pPr>
        <w:pStyle w:val="Heading1"/>
      </w:pPr>
      <w:r>
        <w:lastRenderedPageBreak/>
        <w:t>1. Executive Decision</w:t>
      </w:r>
    </w:p>
    <w:p w14:paraId="4A9BDBE0" w14:textId="77777777" w:rsidR="00632D2B" w:rsidRDefault="00000000">
      <w:r>
        <w:t>MedNexus is confirmed as an enterprise Medical Document Intelligence platform, not a single de-identification tool and not a wrapper around OpenMed. Its purpose is to ingest medical documents, understand their structure and meaning, protect identity, extract clinical information, normalize medical concepts, produce structured data, and generate analytics, statistics, and operational or public-health indicators.</w:t>
      </w:r>
    </w:p>
    <w:p w14:paraId="584EFBB6" w14:textId="77777777" w:rsidR="00632D2B" w:rsidRDefault="00000000">
      <w:r>
        <w:t>The Clinical Privacy Policy Engine remains frozen at its accepted Phase 1 POC checkpoint. Medical Document Understanding &amp; Recognition now has an accepted Phase 2 Foundation checkpoint at commit a1e8ff2. The verified repository baseline is 714 passed tests, 8 warnings, and no failures. These are engineering checkpoints, not production or clinical certification.</w:t>
      </w:r>
    </w:p>
    <w:p w14:paraId="691B5F10" w14:textId="77777777" w:rsidR="00632D2B" w:rsidRDefault="00000000">
      <w:r>
        <w:t>The project will continue from the existing codebase. No restart is required. The correct action is controlled refactoring: preserve working behavior, introduce stable internal contracts, separate detection from policy transformation, and then extend document ingestion, clinical extraction, terminology normalization, and analytics in planned phases.</w:t>
      </w:r>
    </w:p>
    <w:p w14:paraId="5A1AE2DF" w14:textId="77777777" w:rsidR="00632D2B" w:rsidRDefault="00000000">
      <w:pPr>
        <w:pStyle w:val="Heading1"/>
      </w:pPr>
      <w:r>
        <w:t>2. Project Definition and Fixed Vision</w:t>
      </w:r>
    </w:p>
    <w:p w14:paraId="547E5ABB" w14:textId="77777777" w:rsidR="00632D2B" w:rsidRDefault="00000000">
      <w:pPr>
        <w:pStyle w:val="Heading2"/>
      </w:pPr>
      <w:r>
        <w:t>2.1 Product Definition</w:t>
      </w:r>
    </w:p>
    <w:p w14:paraId="0E6B89FC" w14:textId="77777777" w:rsidR="00632D2B" w:rsidRDefault="00000000">
      <w:r>
        <w:t>MedNexus is a modular, engine-agnostic, privacy-first platform that converts heterogeneous medical documents into protected, structured, analyzable medical information.</w:t>
      </w:r>
    </w:p>
    <w:p w14:paraId="4E99380D" w14:textId="77777777" w:rsidR="00632D2B" w:rsidRDefault="00000000">
      <w:pPr>
        <w:pStyle w:val="Heading2"/>
      </w:pPr>
      <w:r>
        <w:t>2.2 End-to-End Mission</w:t>
      </w:r>
    </w:p>
    <w:tbl>
      <w:tblPr>
        <w:tblStyle w:val="TableGrid"/>
        <w:tblW w:w="0" w:type="auto"/>
        <w:jc w:val="center"/>
        <w:tblLook w:val="04A0" w:firstRow="1" w:lastRow="0" w:firstColumn="1" w:lastColumn="0" w:noHBand="0" w:noVBand="1"/>
      </w:tblPr>
      <w:tblGrid>
        <w:gridCol w:w="5040"/>
        <w:gridCol w:w="5040"/>
      </w:tblGrid>
      <w:tr w:rsidR="00632D2B" w14:paraId="28357CF9" w14:textId="77777777">
        <w:trPr>
          <w:jc w:val="center"/>
        </w:trPr>
        <w:tc>
          <w:tcPr>
            <w:tcW w:w="5040" w:type="dxa"/>
            <w:shd w:val="clear" w:color="auto" w:fill="173768"/>
            <w:vAlign w:val="center"/>
          </w:tcPr>
          <w:p w14:paraId="67082AB4" w14:textId="77777777" w:rsidR="00632D2B" w:rsidRDefault="00000000">
            <w:r>
              <w:rPr>
                <w:b/>
                <w:color w:val="FFFFFF"/>
                <w:sz w:val="18"/>
              </w:rPr>
              <w:t>Stage</w:t>
            </w:r>
          </w:p>
        </w:tc>
        <w:tc>
          <w:tcPr>
            <w:tcW w:w="5040" w:type="dxa"/>
            <w:shd w:val="clear" w:color="auto" w:fill="173768"/>
            <w:vAlign w:val="center"/>
          </w:tcPr>
          <w:p w14:paraId="3F5B2F61" w14:textId="77777777" w:rsidR="00632D2B" w:rsidRDefault="00000000">
            <w:r>
              <w:rPr>
                <w:b/>
                <w:color w:val="FFFFFF"/>
                <w:sz w:val="18"/>
              </w:rPr>
              <w:t>Purpose</w:t>
            </w:r>
          </w:p>
        </w:tc>
      </w:tr>
      <w:tr w:rsidR="00632D2B" w14:paraId="5560FCA5" w14:textId="77777777">
        <w:trPr>
          <w:jc w:val="center"/>
        </w:trPr>
        <w:tc>
          <w:tcPr>
            <w:tcW w:w="5040" w:type="dxa"/>
            <w:vAlign w:val="center"/>
          </w:tcPr>
          <w:p w14:paraId="2708230B" w14:textId="77777777" w:rsidR="00632D2B" w:rsidRDefault="00000000">
            <w:r>
              <w:rPr>
                <w:sz w:val="18"/>
              </w:rPr>
              <w:t>Document Ingestion</w:t>
            </w:r>
          </w:p>
        </w:tc>
        <w:tc>
          <w:tcPr>
            <w:tcW w:w="5040" w:type="dxa"/>
            <w:vAlign w:val="center"/>
          </w:tcPr>
          <w:p w14:paraId="7E351484" w14:textId="77777777" w:rsidR="00632D2B" w:rsidRDefault="00000000">
            <w:r>
              <w:rPr>
                <w:sz w:val="18"/>
              </w:rPr>
              <w:t>Receive TXT, DOCX, PDF, scanned documents, and later HL7/FHIR/DICOM document content.</w:t>
            </w:r>
          </w:p>
        </w:tc>
      </w:tr>
      <w:tr w:rsidR="00632D2B" w14:paraId="0CD4DE6A" w14:textId="77777777">
        <w:trPr>
          <w:jc w:val="center"/>
        </w:trPr>
        <w:tc>
          <w:tcPr>
            <w:tcW w:w="5040" w:type="dxa"/>
            <w:shd w:val="clear" w:color="auto" w:fill="F3F6FA"/>
            <w:vAlign w:val="center"/>
          </w:tcPr>
          <w:p w14:paraId="04C926FA" w14:textId="77777777" w:rsidR="00632D2B" w:rsidRDefault="00000000">
            <w:r>
              <w:rPr>
                <w:sz w:val="18"/>
              </w:rPr>
              <w:t>Document Understanding</w:t>
            </w:r>
          </w:p>
        </w:tc>
        <w:tc>
          <w:tcPr>
            <w:tcW w:w="5040" w:type="dxa"/>
            <w:shd w:val="clear" w:color="auto" w:fill="F3F6FA"/>
            <w:vAlign w:val="center"/>
          </w:tcPr>
          <w:p w14:paraId="33E900EA" w14:textId="77777777" w:rsidR="00632D2B" w:rsidRDefault="00000000">
            <w:r>
              <w:rPr>
                <w:sz w:val="18"/>
              </w:rPr>
              <w:t>Identify document type, sections, fields, tables, layout, and clinical context.</w:t>
            </w:r>
          </w:p>
        </w:tc>
      </w:tr>
      <w:tr w:rsidR="00632D2B" w14:paraId="072E582F" w14:textId="77777777">
        <w:trPr>
          <w:jc w:val="center"/>
        </w:trPr>
        <w:tc>
          <w:tcPr>
            <w:tcW w:w="5040" w:type="dxa"/>
            <w:vAlign w:val="center"/>
          </w:tcPr>
          <w:p w14:paraId="5D652DF8" w14:textId="77777777" w:rsidR="00632D2B" w:rsidRDefault="00000000">
            <w:r>
              <w:rPr>
                <w:sz w:val="18"/>
              </w:rPr>
              <w:t>Identity Protection</w:t>
            </w:r>
          </w:p>
        </w:tc>
        <w:tc>
          <w:tcPr>
            <w:tcW w:w="5040" w:type="dxa"/>
            <w:vAlign w:val="center"/>
          </w:tcPr>
          <w:p w14:paraId="0DA17C68" w14:textId="77777777" w:rsidR="00632D2B" w:rsidRDefault="00000000">
            <w:r>
              <w:rPr>
                <w:sz w:val="18"/>
              </w:rPr>
              <w:t>Detect direct and indirect identifiers and apply configurable privacy policies.</w:t>
            </w:r>
          </w:p>
        </w:tc>
      </w:tr>
      <w:tr w:rsidR="00632D2B" w14:paraId="0AB6ADCD" w14:textId="77777777">
        <w:trPr>
          <w:jc w:val="center"/>
        </w:trPr>
        <w:tc>
          <w:tcPr>
            <w:tcW w:w="5040" w:type="dxa"/>
            <w:shd w:val="clear" w:color="auto" w:fill="F3F6FA"/>
            <w:vAlign w:val="center"/>
          </w:tcPr>
          <w:p w14:paraId="17F9B19C" w14:textId="77777777" w:rsidR="00632D2B" w:rsidRDefault="00000000">
            <w:r>
              <w:rPr>
                <w:sz w:val="18"/>
              </w:rPr>
              <w:t>Clinical Extraction</w:t>
            </w:r>
          </w:p>
        </w:tc>
        <w:tc>
          <w:tcPr>
            <w:tcW w:w="5040" w:type="dxa"/>
            <w:shd w:val="clear" w:color="auto" w:fill="F3F6FA"/>
            <w:vAlign w:val="center"/>
          </w:tcPr>
          <w:p w14:paraId="611F596E" w14:textId="77777777" w:rsidR="00632D2B" w:rsidRDefault="00000000">
            <w:r>
              <w:rPr>
                <w:sz w:val="18"/>
              </w:rPr>
              <w:t>Extract diagnoses, symptoms, procedures, medications, findings, tests, values, outcomes, and relationships.</w:t>
            </w:r>
          </w:p>
        </w:tc>
      </w:tr>
      <w:tr w:rsidR="00632D2B" w14:paraId="281241B7" w14:textId="77777777">
        <w:trPr>
          <w:jc w:val="center"/>
        </w:trPr>
        <w:tc>
          <w:tcPr>
            <w:tcW w:w="5040" w:type="dxa"/>
            <w:vAlign w:val="center"/>
          </w:tcPr>
          <w:p w14:paraId="1D3646F9" w14:textId="77777777" w:rsidR="00632D2B" w:rsidRDefault="00000000">
            <w:r>
              <w:rPr>
                <w:sz w:val="18"/>
              </w:rPr>
              <w:t>Terminology Normalization</w:t>
            </w:r>
          </w:p>
        </w:tc>
        <w:tc>
          <w:tcPr>
            <w:tcW w:w="5040" w:type="dxa"/>
            <w:vAlign w:val="center"/>
          </w:tcPr>
          <w:p w14:paraId="464D8C75" w14:textId="77777777" w:rsidR="00632D2B" w:rsidRDefault="00000000">
            <w:r>
              <w:rPr>
                <w:sz w:val="18"/>
              </w:rPr>
              <w:t>Map extracted concepts to standards such as ICD-10, SNOMED CT, LOINC, RxNorm, ICD-O, and UCUM.</w:t>
            </w:r>
          </w:p>
        </w:tc>
      </w:tr>
      <w:tr w:rsidR="00632D2B" w14:paraId="762F4C71" w14:textId="77777777">
        <w:trPr>
          <w:jc w:val="center"/>
        </w:trPr>
        <w:tc>
          <w:tcPr>
            <w:tcW w:w="5040" w:type="dxa"/>
            <w:shd w:val="clear" w:color="auto" w:fill="F3F6FA"/>
            <w:vAlign w:val="center"/>
          </w:tcPr>
          <w:p w14:paraId="5F6FE1D2" w14:textId="77777777" w:rsidR="00632D2B" w:rsidRDefault="00000000">
            <w:r>
              <w:rPr>
                <w:sz w:val="18"/>
              </w:rPr>
              <w:t>Structured Repository</w:t>
            </w:r>
          </w:p>
        </w:tc>
        <w:tc>
          <w:tcPr>
            <w:tcW w:w="5040" w:type="dxa"/>
            <w:shd w:val="clear" w:color="auto" w:fill="F3F6FA"/>
            <w:vAlign w:val="center"/>
          </w:tcPr>
          <w:p w14:paraId="6237150C" w14:textId="77777777" w:rsidR="00632D2B" w:rsidRDefault="00000000">
            <w:r>
              <w:rPr>
                <w:sz w:val="18"/>
              </w:rPr>
              <w:t>Store document metadata, entities, concepts, relationships, confidence, provenance, and audit data.</w:t>
            </w:r>
          </w:p>
        </w:tc>
      </w:tr>
      <w:tr w:rsidR="00632D2B" w14:paraId="0EA065CB" w14:textId="77777777">
        <w:trPr>
          <w:jc w:val="center"/>
        </w:trPr>
        <w:tc>
          <w:tcPr>
            <w:tcW w:w="5040" w:type="dxa"/>
            <w:vAlign w:val="center"/>
          </w:tcPr>
          <w:p w14:paraId="0F947826" w14:textId="77777777" w:rsidR="00632D2B" w:rsidRDefault="00000000">
            <w:r>
              <w:rPr>
                <w:sz w:val="18"/>
              </w:rPr>
              <w:t>Analytics and Indicators</w:t>
            </w:r>
          </w:p>
        </w:tc>
        <w:tc>
          <w:tcPr>
            <w:tcW w:w="5040" w:type="dxa"/>
            <w:vAlign w:val="center"/>
          </w:tcPr>
          <w:p w14:paraId="4DD20F43" w14:textId="77777777" w:rsidR="00632D2B" w:rsidRDefault="00000000">
            <w:r>
              <w:rPr>
                <w:sz w:val="18"/>
              </w:rPr>
              <w:t>Generate descriptive statistics, quality indicators, clinical trends, research cohorts, and public-health insights.</w:t>
            </w:r>
          </w:p>
        </w:tc>
      </w:tr>
      <w:tr w:rsidR="00632D2B" w14:paraId="6975F709" w14:textId="77777777">
        <w:trPr>
          <w:jc w:val="center"/>
        </w:trPr>
        <w:tc>
          <w:tcPr>
            <w:tcW w:w="5040" w:type="dxa"/>
            <w:shd w:val="clear" w:color="auto" w:fill="F3F6FA"/>
            <w:vAlign w:val="center"/>
          </w:tcPr>
          <w:p w14:paraId="3A6DD82A" w14:textId="77777777" w:rsidR="00632D2B" w:rsidRDefault="00000000">
            <w:r>
              <w:rPr>
                <w:sz w:val="18"/>
              </w:rPr>
              <w:t>Enterprise Integration</w:t>
            </w:r>
          </w:p>
        </w:tc>
        <w:tc>
          <w:tcPr>
            <w:tcW w:w="5040" w:type="dxa"/>
            <w:shd w:val="clear" w:color="auto" w:fill="F3F6FA"/>
            <w:vAlign w:val="center"/>
          </w:tcPr>
          <w:p w14:paraId="230A9EAC" w14:textId="77777777" w:rsidR="00632D2B" w:rsidRDefault="00000000">
            <w:r>
              <w:rPr>
                <w:sz w:val="18"/>
              </w:rPr>
              <w:t>Connect to HIS, EHR, LIS, RIS/PACS, HL7 v2, FHIR, and DICOM ecosystems.</w:t>
            </w:r>
          </w:p>
        </w:tc>
      </w:tr>
    </w:tbl>
    <w:p w14:paraId="6D930A34" w14:textId="77777777" w:rsidR="00632D2B" w:rsidRDefault="00632D2B"/>
    <w:p w14:paraId="3CFB6959" w14:textId="77777777" w:rsidR="00632D2B" w:rsidRDefault="00000000">
      <w:pPr>
        <w:pStyle w:val="Heading2"/>
      </w:pPr>
      <w:r>
        <w:t>2.3 Non-Negotiable Product Principles</w:t>
      </w:r>
    </w:p>
    <w:p w14:paraId="140549EF" w14:textId="77777777" w:rsidR="00632D2B" w:rsidRDefault="00000000">
      <w:pPr>
        <w:pStyle w:val="ListBullet"/>
      </w:pPr>
      <w:r>
        <w:t>Privacy-first and suitable for on-premise or offline deployment.</w:t>
      </w:r>
    </w:p>
    <w:p w14:paraId="29F21E0F" w14:textId="77777777" w:rsidR="00632D2B" w:rsidRDefault="00000000">
      <w:pPr>
        <w:pStyle w:val="ListBullet"/>
      </w:pPr>
      <w:r>
        <w:t>Engine-agnostic: OpenMed is the first engine, not the permanent boundary of the platform.</w:t>
      </w:r>
    </w:p>
    <w:p w14:paraId="4877DCD2" w14:textId="77777777" w:rsidR="00632D2B" w:rsidRDefault="00000000">
      <w:pPr>
        <w:pStyle w:val="ListBullet"/>
      </w:pPr>
      <w:r>
        <w:t>Open-source-first, while allowing replacement or combination of multiple engines.</w:t>
      </w:r>
    </w:p>
    <w:p w14:paraId="395F470C" w14:textId="77777777" w:rsidR="00632D2B" w:rsidRDefault="00000000">
      <w:pPr>
        <w:pStyle w:val="ListBullet"/>
      </w:pPr>
      <w:r>
        <w:t>Medical-document-centered rather than limited to generic NLP.</w:t>
      </w:r>
    </w:p>
    <w:p w14:paraId="17355A46" w14:textId="77777777" w:rsidR="00632D2B" w:rsidRDefault="00000000">
      <w:pPr>
        <w:pStyle w:val="ListBullet"/>
      </w:pPr>
      <w:r>
        <w:t>API-first, modular, testable, and auditable.</w:t>
      </w:r>
    </w:p>
    <w:p w14:paraId="74D4EAC5" w14:textId="77777777" w:rsidR="00632D2B" w:rsidRDefault="00000000">
      <w:pPr>
        <w:pStyle w:val="ListBullet"/>
      </w:pPr>
      <w:r>
        <w:lastRenderedPageBreak/>
        <w:t>Rules are used for deterministic structure and validation; AI is used for semantic generalization.</w:t>
      </w:r>
    </w:p>
    <w:p w14:paraId="273F8260" w14:textId="77777777" w:rsidR="00632D2B" w:rsidRDefault="00000000">
      <w:pPr>
        <w:pStyle w:val="ListBullet"/>
      </w:pPr>
      <w:r>
        <w:t>Every extracted result retains provenance and confidence.</w:t>
      </w:r>
    </w:p>
    <w:p w14:paraId="4A796BA0" w14:textId="77777777" w:rsidR="00632D2B" w:rsidRDefault="00000000">
      <w:pPr>
        <w:pStyle w:val="ListBullet"/>
      </w:pPr>
      <w:r>
        <w:t>Analytics are produced only from traceable structured data, not directly from uncontrolled free text.</w:t>
      </w:r>
    </w:p>
    <w:p w14:paraId="2F22AF4B" w14:textId="77777777" w:rsidR="00632D2B" w:rsidRDefault="00000000">
      <w:pPr>
        <w:pStyle w:val="Heading1"/>
      </w:pPr>
      <w:r>
        <w:t>3. What Was Reviewed</w:t>
      </w:r>
    </w:p>
    <w:p w14:paraId="60ABA5BD" w14:textId="77777777" w:rsidR="00632D2B" w:rsidRDefault="00000000">
      <w:r>
        <w:t>The review covered the complete uploaded MedNexus package. Review depth differed according to artifact type: MedNexus source code was inspected directly; tests and datasets were inspected as project assets; third-party libraries were assessed as dependencies and runtime components rather than treated as MedNexus-authored code.</w:t>
      </w:r>
    </w:p>
    <w:tbl>
      <w:tblPr>
        <w:tblStyle w:val="TableGrid"/>
        <w:tblW w:w="0" w:type="auto"/>
        <w:jc w:val="center"/>
        <w:tblLook w:val="04A0" w:firstRow="1" w:lastRow="0" w:firstColumn="1" w:lastColumn="0" w:noHBand="0" w:noVBand="1"/>
      </w:tblPr>
      <w:tblGrid>
        <w:gridCol w:w="3360"/>
        <w:gridCol w:w="3360"/>
        <w:gridCol w:w="3360"/>
      </w:tblGrid>
      <w:tr w:rsidR="00632D2B" w14:paraId="7B383941" w14:textId="77777777">
        <w:trPr>
          <w:jc w:val="center"/>
        </w:trPr>
        <w:tc>
          <w:tcPr>
            <w:tcW w:w="3360" w:type="dxa"/>
            <w:shd w:val="clear" w:color="auto" w:fill="173768"/>
            <w:vAlign w:val="center"/>
          </w:tcPr>
          <w:p w14:paraId="3402272A" w14:textId="77777777" w:rsidR="00632D2B" w:rsidRDefault="00000000">
            <w:r>
              <w:rPr>
                <w:b/>
                <w:color w:val="FFFFFF"/>
                <w:sz w:val="18"/>
              </w:rPr>
              <w:t>Area</w:t>
            </w:r>
          </w:p>
        </w:tc>
        <w:tc>
          <w:tcPr>
            <w:tcW w:w="3360" w:type="dxa"/>
            <w:shd w:val="clear" w:color="auto" w:fill="173768"/>
            <w:vAlign w:val="center"/>
          </w:tcPr>
          <w:p w14:paraId="51A5587D" w14:textId="77777777" w:rsidR="00632D2B" w:rsidRDefault="00000000">
            <w:r>
              <w:rPr>
                <w:b/>
                <w:color w:val="FFFFFF"/>
                <w:sz w:val="18"/>
              </w:rPr>
              <w:t>Review Treatment</w:t>
            </w:r>
          </w:p>
        </w:tc>
        <w:tc>
          <w:tcPr>
            <w:tcW w:w="3360" w:type="dxa"/>
            <w:shd w:val="clear" w:color="auto" w:fill="173768"/>
            <w:vAlign w:val="center"/>
          </w:tcPr>
          <w:p w14:paraId="4F409245" w14:textId="77777777" w:rsidR="00632D2B" w:rsidRDefault="00000000">
            <w:r>
              <w:rPr>
                <w:b/>
                <w:color w:val="FFFFFF"/>
                <w:sz w:val="18"/>
              </w:rPr>
              <w:t>Finding</w:t>
            </w:r>
          </w:p>
        </w:tc>
      </w:tr>
      <w:tr w:rsidR="00632D2B" w14:paraId="581D3BFC" w14:textId="77777777">
        <w:trPr>
          <w:jc w:val="center"/>
        </w:trPr>
        <w:tc>
          <w:tcPr>
            <w:tcW w:w="3360" w:type="dxa"/>
            <w:vAlign w:val="center"/>
          </w:tcPr>
          <w:p w14:paraId="36F96ACD" w14:textId="77777777" w:rsidR="00632D2B" w:rsidRDefault="00000000">
            <w:r>
              <w:rPr>
                <w:sz w:val="18"/>
              </w:rPr>
              <w:t>Project folder structure</w:t>
            </w:r>
          </w:p>
        </w:tc>
        <w:tc>
          <w:tcPr>
            <w:tcW w:w="3360" w:type="dxa"/>
            <w:vAlign w:val="center"/>
          </w:tcPr>
          <w:p w14:paraId="1982FB70" w14:textId="77777777" w:rsidR="00632D2B" w:rsidRDefault="00000000">
            <w:r>
              <w:rPr>
                <w:sz w:val="18"/>
              </w:rPr>
              <w:t>Full structural review</w:t>
            </w:r>
          </w:p>
        </w:tc>
        <w:tc>
          <w:tcPr>
            <w:tcW w:w="3360" w:type="dxa"/>
            <w:vAlign w:val="center"/>
          </w:tcPr>
          <w:p w14:paraId="50F4BDAB" w14:textId="77777777" w:rsidR="00632D2B" w:rsidRDefault="00000000">
            <w:r>
              <w:rPr>
                <w:sz w:val="18"/>
              </w:rPr>
              <w:t>Clear numbered project areas exist, but most non-source folders are still empty placeholders.</w:t>
            </w:r>
          </w:p>
        </w:tc>
      </w:tr>
      <w:tr w:rsidR="00632D2B" w14:paraId="58CAB0A6" w14:textId="77777777">
        <w:trPr>
          <w:jc w:val="center"/>
        </w:trPr>
        <w:tc>
          <w:tcPr>
            <w:tcW w:w="3360" w:type="dxa"/>
            <w:shd w:val="clear" w:color="auto" w:fill="F3F6FA"/>
            <w:vAlign w:val="center"/>
          </w:tcPr>
          <w:p w14:paraId="74931DD7" w14:textId="77777777" w:rsidR="00632D2B" w:rsidRDefault="00000000">
            <w:r>
              <w:rPr>
                <w:sz w:val="18"/>
              </w:rPr>
              <w:t>Backend source code</w:t>
            </w:r>
          </w:p>
        </w:tc>
        <w:tc>
          <w:tcPr>
            <w:tcW w:w="3360" w:type="dxa"/>
            <w:shd w:val="clear" w:color="auto" w:fill="F3F6FA"/>
            <w:vAlign w:val="center"/>
          </w:tcPr>
          <w:p w14:paraId="4AECC581" w14:textId="77777777" w:rsidR="00632D2B" w:rsidRDefault="00000000">
            <w:r>
              <w:rPr>
                <w:sz w:val="18"/>
              </w:rPr>
              <w:t>Direct file-by-file architectural review</w:t>
            </w:r>
          </w:p>
        </w:tc>
        <w:tc>
          <w:tcPr>
            <w:tcW w:w="3360" w:type="dxa"/>
            <w:shd w:val="clear" w:color="auto" w:fill="F3F6FA"/>
            <w:vAlign w:val="center"/>
          </w:tcPr>
          <w:p w14:paraId="7861BE33" w14:textId="77777777" w:rsidR="00632D2B" w:rsidRDefault="00000000">
            <w:r>
              <w:rPr>
                <w:sz w:val="18"/>
              </w:rPr>
              <w:t>Working prototype with clear early layering, but several responsibilities remain coupled.</w:t>
            </w:r>
          </w:p>
        </w:tc>
      </w:tr>
      <w:tr w:rsidR="00632D2B" w14:paraId="779BC4A9" w14:textId="77777777">
        <w:trPr>
          <w:jc w:val="center"/>
        </w:trPr>
        <w:tc>
          <w:tcPr>
            <w:tcW w:w="3360" w:type="dxa"/>
            <w:vAlign w:val="center"/>
          </w:tcPr>
          <w:p w14:paraId="72E7AF89" w14:textId="77777777" w:rsidR="00632D2B" w:rsidRDefault="00000000">
            <w:r>
              <w:rPr>
                <w:sz w:val="18"/>
              </w:rPr>
              <w:t>Frontend</w:t>
            </w:r>
          </w:p>
        </w:tc>
        <w:tc>
          <w:tcPr>
            <w:tcW w:w="3360" w:type="dxa"/>
            <w:vAlign w:val="center"/>
          </w:tcPr>
          <w:p w14:paraId="3D4615CD" w14:textId="77777777" w:rsidR="00632D2B" w:rsidRDefault="00000000">
            <w:r>
              <w:rPr>
                <w:sz w:val="18"/>
              </w:rPr>
              <w:t>Direct review</w:t>
            </w:r>
          </w:p>
        </w:tc>
        <w:tc>
          <w:tcPr>
            <w:tcW w:w="3360" w:type="dxa"/>
            <w:vAlign w:val="center"/>
          </w:tcPr>
          <w:p w14:paraId="44BF3D34" w14:textId="77777777" w:rsidR="00632D2B" w:rsidRDefault="00000000">
            <w:r>
              <w:rPr>
                <w:sz w:val="18"/>
              </w:rPr>
              <w:t>Simple functional interface appropriate for the prototype stage.</w:t>
            </w:r>
          </w:p>
        </w:tc>
      </w:tr>
      <w:tr w:rsidR="00632D2B" w14:paraId="5F6E1F9B" w14:textId="77777777">
        <w:trPr>
          <w:jc w:val="center"/>
        </w:trPr>
        <w:tc>
          <w:tcPr>
            <w:tcW w:w="3360" w:type="dxa"/>
            <w:shd w:val="clear" w:color="auto" w:fill="F3F6FA"/>
            <w:vAlign w:val="center"/>
          </w:tcPr>
          <w:p w14:paraId="2DD48041" w14:textId="77777777" w:rsidR="00632D2B" w:rsidRDefault="00000000">
            <w:r>
              <w:rPr>
                <w:sz w:val="18"/>
              </w:rPr>
              <w:t>Tests</w:t>
            </w:r>
          </w:p>
        </w:tc>
        <w:tc>
          <w:tcPr>
            <w:tcW w:w="3360" w:type="dxa"/>
            <w:shd w:val="clear" w:color="auto" w:fill="F3F6FA"/>
            <w:vAlign w:val="center"/>
          </w:tcPr>
          <w:p w14:paraId="4C491701" w14:textId="77777777" w:rsidR="00632D2B" w:rsidRDefault="00000000">
            <w:r>
              <w:rPr>
                <w:sz w:val="18"/>
              </w:rPr>
              <w:t>Direct review of unit tests and test design</w:t>
            </w:r>
          </w:p>
        </w:tc>
        <w:tc>
          <w:tcPr>
            <w:tcW w:w="3360" w:type="dxa"/>
            <w:shd w:val="clear" w:color="auto" w:fill="F3F6FA"/>
            <w:vAlign w:val="center"/>
          </w:tcPr>
          <w:p w14:paraId="2B044F97" w14:textId="77777777" w:rsidR="00632D2B" w:rsidRDefault="00000000">
            <w:r>
              <w:rPr>
                <w:sz w:val="18"/>
              </w:rPr>
              <w:t>Good incremental test habit; contracts are currently inconsistent between old tuples/dicts and the new DetectedEntity object.</w:t>
            </w:r>
          </w:p>
        </w:tc>
      </w:tr>
      <w:tr w:rsidR="00632D2B" w14:paraId="3ECC11A6" w14:textId="77777777">
        <w:trPr>
          <w:jc w:val="center"/>
        </w:trPr>
        <w:tc>
          <w:tcPr>
            <w:tcW w:w="3360" w:type="dxa"/>
            <w:vAlign w:val="center"/>
          </w:tcPr>
          <w:p w14:paraId="1EBF6FA7" w14:textId="77777777" w:rsidR="00632D2B" w:rsidRDefault="00000000">
            <w:r>
              <w:rPr>
                <w:sz w:val="18"/>
              </w:rPr>
              <w:t>Requirements</w:t>
            </w:r>
          </w:p>
        </w:tc>
        <w:tc>
          <w:tcPr>
            <w:tcW w:w="3360" w:type="dxa"/>
            <w:vAlign w:val="center"/>
          </w:tcPr>
          <w:p w14:paraId="312B1430" w14:textId="77777777" w:rsidR="00632D2B" w:rsidRDefault="00000000">
            <w:r>
              <w:rPr>
                <w:sz w:val="18"/>
              </w:rPr>
              <w:t>Direct dependency review</w:t>
            </w:r>
          </w:p>
        </w:tc>
        <w:tc>
          <w:tcPr>
            <w:tcW w:w="3360" w:type="dxa"/>
            <w:vAlign w:val="center"/>
          </w:tcPr>
          <w:p w14:paraId="5CB249F5" w14:textId="77777777" w:rsidR="00632D2B" w:rsidRDefault="00000000">
            <w:r>
              <w:rPr>
                <w:sz w:val="18"/>
              </w:rPr>
              <w:t>FastAPI, Pydantic, OpenMed, Transformers, and Torch form the current runtime foundation.</w:t>
            </w:r>
          </w:p>
        </w:tc>
      </w:tr>
      <w:tr w:rsidR="00632D2B" w14:paraId="758CEF60" w14:textId="77777777">
        <w:trPr>
          <w:jc w:val="center"/>
        </w:trPr>
        <w:tc>
          <w:tcPr>
            <w:tcW w:w="3360" w:type="dxa"/>
            <w:shd w:val="clear" w:color="auto" w:fill="F3F6FA"/>
            <w:vAlign w:val="center"/>
          </w:tcPr>
          <w:p w14:paraId="35CDD862" w14:textId="77777777" w:rsidR="00632D2B" w:rsidRDefault="00000000">
            <w:r>
              <w:rPr>
                <w:sz w:val="18"/>
              </w:rPr>
              <w:t>Virtual environment</w:t>
            </w:r>
          </w:p>
        </w:tc>
        <w:tc>
          <w:tcPr>
            <w:tcW w:w="3360" w:type="dxa"/>
            <w:shd w:val="clear" w:color="auto" w:fill="F3F6FA"/>
            <w:vAlign w:val="center"/>
          </w:tcPr>
          <w:p w14:paraId="34F30197" w14:textId="77777777" w:rsidR="00632D2B" w:rsidRDefault="00000000">
            <w:r>
              <w:rPr>
                <w:sz w:val="18"/>
              </w:rPr>
              <w:t>Runtime/dependency inventory review</w:t>
            </w:r>
          </w:p>
        </w:tc>
        <w:tc>
          <w:tcPr>
            <w:tcW w:w="3360" w:type="dxa"/>
            <w:shd w:val="clear" w:color="auto" w:fill="F3F6FA"/>
            <w:vAlign w:val="center"/>
          </w:tcPr>
          <w:p w14:paraId="6990DD76" w14:textId="77777777" w:rsidR="00632D2B" w:rsidRDefault="00000000">
            <w:r>
              <w:rPr>
                <w:sz w:val="18"/>
              </w:rPr>
              <w:t>Necessary locally, but it is a generated environment, not authored MedNexus source.</w:t>
            </w:r>
          </w:p>
        </w:tc>
      </w:tr>
      <w:tr w:rsidR="00632D2B" w14:paraId="6725505E" w14:textId="77777777">
        <w:trPr>
          <w:jc w:val="center"/>
        </w:trPr>
        <w:tc>
          <w:tcPr>
            <w:tcW w:w="3360" w:type="dxa"/>
            <w:vAlign w:val="center"/>
          </w:tcPr>
          <w:p w14:paraId="3AC82B37" w14:textId="77777777" w:rsidR="00632D2B" w:rsidRDefault="00000000">
            <w:r>
              <w:rPr>
                <w:sz w:val="18"/>
              </w:rPr>
              <w:t>Synthetic reports</w:t>
            </w:r>
          </w:p>
        </w:tc>
        <w:tc>
          <w:tcPr>
            <w:tcW w:w="3360" w:type="dxa"/>
            <w:vAlign w:val="center"/>
          </w:tcPr>
          <w:p w14:paraId="2C2EA1D7" w14:textId="77777777" w:rsidR="00632D2B" w:rsidRDefault="00000000">
            <w:r>
              <w:rPr>
                <w:sz w:val="18"/>
              </w:rPr>
              <w:t>Dataset inventory review</w:t>
            </w:r>
          </w:p>
        </w:tc>
        <w:tc>
          <w:tcPr>
            <w:tcW w:w="3360" w:type="dxa"/>
            <w:vAlign w:val="center"/>
          </w:tcPr>
          <w:p w14:paraId="14038C2D" w14:textId="77777777" w:rsidR="00632D2B" w:rsidRDefault="00000000">
            <w:r>
              <w:rPr>
                <w:sz w:val="18"/>
              </w:rPr>
              <w:t>Useful initial benchmark set covering radiology, laboratory, discharge, pathology, ADT, and mixed referral documents.</w:t>
            </w:r>
          </w:p>
        </w:tc>
      </w:tr>
      <w:tr w:rsidR="00632D2B" w14:paraId="25555782" w14:textId="77777777">
        <w:trPr>
          <w:jc w:val="center"/>
        </w:trPr>
        <w:tc>
          <w:tcPr>
            <w:tcW w:w="3360" w:type="dxa"/>
            <w:shd w:val="clear" w:color="auto" w:fill="F3F6FA"/>
            <w:vAlign w:val="center"/>
          </w:tcPr>
          <w:p w14:paraId="1D8924EE" w14:textId="77777777" w:rsidR="00632D2B" w:rsidRDefault="00000000">
            <w:r>
              <w:rPr>
                <w:sz w:val="18"/>
              </w:rPr>
              <w:t>Architecture diagrams</w:t>
            </w:r>
          </w:p>
        </w:tc>
        <w:tc>
          <w:tcPr>
            <w:tcW w:w="3360" w:type="dxa"/>
            <w:shd w:val="clear" w:color="auto" w:fill="F3F6FA"/>
            <w:vAlign w:val="center"/>
          </w:tcPr>
          <w:p w14:paraId="315A7ED3" w14:textId="77777777" w:rsidR="00632D2B" w:rsidRDefault="00000000">
            <w:r>
              <w:rPr>
                <w:sz w:val="18"/>
              </w:rPr>
              <w:t>Visual architecture review</w:t>
            </w:r>
          </w:p>
        </w:tc>
        <w:tc>
          <w:tcPr>
            <w:tcW w:w="3360" w:type="dxa"/>
            <w:shd w:val="clear" w:color="auto" w:fill="F3F6FA"/>
            <w:vAlign w:val="center"/>
          </w:tcPr>
          <w:p w14:paraId="77C03F9D" w14:textId="77777777" w:rsidR="00632D2B" w:rsidRDefault="00000000">
            <w:r>
              <w:rPr>
                <w:sz w:val="18"/>
              </w:rPr>
              <w:t>Long-term architecture is broad and aligned with the product vision, but far ahead of current implementation.</w:t>
            </w:r>
          </w:p>
        </w:tc>
      </w:tr>
      <w:tr w:rsidR="00632D2B" w14:paraId="21289388" w14:textId="77777777">
        <w:trPr>
          <w:jc w:val="center"/>
        </w:trPr>
        <w:tc>
          <w:tcPr>
            <w:tcW w:w="3360" w:type="dxa"/>
            <w:vAlign w:val="center"/>
          </w:tcPr>
          <w:p w14:paraId="560AD83D" w14:textId="77777777" w:rsidR="00632D2B" w:rsidRDefault="00000000">
            <w:r>
              <w:rPr>
                <w:sz w:val="18"/>
              </w:rPr>
              <w:t>Build history and technical debt</w:t>
            </w:r>
          </w:p>
        </w:tc>
        <w:tc>
          <w:tcPr>
            <w:tcW w:w="3360" w:type="dxa"/>
            <w:vAlign w:val="center"/>
          </w:tcPr>
          <w:p w14:paraId="791676F8" w14:textId="77777777" w:rsidR="00632D2B" w:rsidRDefault="00000000">
            <w:r>
              <w:rPr>
                <w:sz w:val="18"/>
              </w:rPr>
              <w:t>Direct review</w:t>
            </w:r>
          </w:p>
        </w:tc>
        <w:tc>
          <w:tcPr>
            <w:tcW w:w="3360" w:type="dxa"/>
            <w:vAlign w:val="center"/>
          </w:tcPr>
          <w:p w14:paraId="6DDF0DFD" w14:textId="77777777" w:rsidR="00632D2B" w:rsidRDefault="00000000">
            <w:r>
              <w:rPr>
                <w:sz w:val="18"/>
              </w:rPr>
              <w:t>Build evolution is documented; Build 0008 record is incomplete and needs a formal completion definition.</w:t>
            </w:r>
          </w:p>
        </w:tc>
      </w:tr>
    </w:tbl>
    <w:p w14:paraId="2CB07C2F" w14:textId="77777777" w:rsidR="00632D2B" w:rsidRDefault="00632D2B"/>
    <w:p w14:paraId="0998DE42" w14:textId="77777777" w:rsidR="00632D2B" w:rsidRDefault="00000000">
      <w:pPr>
        <w:pStyle w:val="Heading1"/>
      </w:pPr>
      <w:r>
        <w:t>4. The Role of .venv, Libraries, OpenMed, and External Models</w:t>
      </w:r>
    </w:p>
    <w:p w14:paraId="489352E2" w14:textId="77777777" w:rsidR="00632D2B" w:rsidRDefault="00000000">
      <w:pPr>
        <w:pStyle w:val="Heading2"/>
      </w:pPr>
      <w:r>
        <w:t>4.1 The Important Distinction</w:t>
      </w:r>
    </w:p>
    <w:p w14:paraId="56DF77D3" w14:textId="77777777" w:rsidR="00632D2B" w:rsidRDefault="00000000">
      <w:r>
        <w:t>The virtual environment and installed libraries are absolutely important to the project, but they are not the same kind of asset as MedNexus source code.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4294F4C0" w14:textId="77777777">
        <w:trPr>
          <w:jc w:val="center"/>
        </w:trPr>
        <w:tc>
          <w:tcPr>
            <w:tcW w:w="2520" w:type="dxa"/>
            <w:shd w:val="clear" w:color="auto" w:fill="173768"/>
            <w:vAlign w:val="center"/>
          </w:tcPr>
          <w:p w14:paraId="5604BDAE" w14:textId="77777777" w:rsidR="00632D2B" w:rsidRDefault="00000000">
            <w:r>
              <w:rPr>
                <w:b/>
                <w:color w:val="FFFFFF"/>
                <w:sz w:val="18"/>
              </w:rPr>
              <w:t>Artifact</w:t>
            </w:r>
          </w:p>
        </w:tc>
        <w:tc>
          <w:tcPr>
            <w:tcW w:w="2520" w:type="dxa"/>
            <w:shd w:val="clear" w:color="auto" w:fill="173768"/>
            <w:vAlign w:val="center"/>
          </w:tcPr>
          <w:p w14:paraId="0EEDA8DC" w14:textId="77777777" w:rsidR="00632D2B" w:rsidRDefault="00000000">
            <w:r>
              <w:rPr>
                <w:b/>
                <w:color w:val="FFFFFF"/>
                <w:sz w:val="18"/>
              </w:rPr>
              <w:t>Is It Part of the Working Project?</w:t>
            </w:r>
          </w:p>
        </w:tc>
        <w:tc>
          <w:tcPr>
            <w:tcW w:w="2520" w:type="dxa"/>
            <w:shd w:val="clear" w:color="auto" w:fill="173768"/>
            <w:vAlign w:val="center"/>
          </w:tcPr>
          <w:p w14:paraId="4E73C1EF" w14:textId="77777777" w:rsidR="00632D2B" w:rsidRDefault="00000000">
            <w:r>
              <w:rPr>
                <w:b/>
                <w:color w:val="FFFFFF"/>
                <w:sz w:val="18"/>
              </w:rPr>
              <w:t>Is It MedNexus Source Code?</w:t>
            </w:r>
          </w:p>
        </w:tc>
        <w:tc>
          <w:tcPr>
            <w:tcW w:w="2520" w:type="dxa"/>
            <w:shd w:val="clear" w:color="auto" w:fill="173768"/>
            <w:vAlign w:val="center"/>
          </w:tcPr>
          <w:p w14:paraId="49E3C8A3" w14:textId="77777777" w:rsidR="00632D2B" w:rsidRDefault="00000000">
            <w:r>
              <w:rPr>
                <w:b/>
                <w:color w:val="FFFFFF"/>
                <w:sz w:val="18"/>
              </w:rPr>
              <w:t>How It Should Be Managed</w:t>
            </w:r>
          </w:p>
        </w:tc>
      </w:tr>
      <w:tr w:rsidR="00632D2B" w14:paraId="68AB69DA" w14:textId="77777777">
        <w:trPr>
          <w:jc w:val="center"/>
        </w:trPr>
        <w:tc>
          <w:tcPr>
            <w:tcW w:w="2520" w:type="dxa"/>
            <w:vAlign w:val="center"/>
          </w:tcPr>
          <w:p w14:paraId="677E33ED" w14:textId="77777777" w:rsidR="00632D2B" w:rsidRDefault="00000000">
            <w:r>
              <w:rPr>
                <w:sz w:val="18"/>
              </w:rPr>
              <w:t>.venv</w:t>
            </w:r>
          </w:p>
        </w:tc>
        <w:tc>
          <w:tcPr>
            <w:tcW w:w="2520" w:type="dxa"/>
            <w:vAlign w:val="center"/>
          </w:tcPr>
          <w:p w14:paraId="6F9B048E" w14:textId="77777777" w:rsidR="00632D2B" w:rsidRDefault="00000000">
            <w:r>
              <w:rPr>
                <w:sz w:val="18"/>
              </w:rPr>
              <w:t>Yes, as the current local runtime environment</w:t>
            </w:r>
          </w:p>
        </w:tc>
        <w:tc>
          <w:tcPr>
            <w:tcW w:w="2520" w:type="dxa"/>
            <w:vAlign w:val="center"/>
          </w:tcPr>
          <w:p w14:paraId="290AA649" w14:textId="77777777" w:rsidR="00632D2B" w:rsidRDefault="00000000">
            <w:r>
              <w:rPr>
                <w:sz w:val="18"/>
              </w:rPr>
              <w:t>No; it is generated from installed packages</w:t>
            </w:r>
          </w:p>
        </w:tc>
        <w:tc>
          <w:tcPr>
            <w:tcW w:w="2520" w:type="dxa"/>
            <w:vAlign w:val="center"/>
          </w:tcPr>
          <w:p w14:paraId="189A0B2D" w14:textId="77777777" w:rsidR="00632D2B" w:rsidRDefault="00000000">
            <w:r>
              <w:rPr>
                <w:sz w:val="18"/>
              </w:rPr>
              <w:t>Recreated from requirements files; normally not versioned or reviewed line-by-line.</w:t>
            </w:r>
          </w:p>
        </w:tc>
      </w:tr>
      <w:tr w:rsidR="00632D2B" w14:paraId="20320E0D" w14:textId="77777777">
        <w:trPr>
          <w:jc w:val="center"/>
        </w:trPr>
        <w:tc>
          <w:tcPr>
            <w:tcW w:w="2520" w:type="dxa"/>
            <w:shd w:val="clear" w:color="auto" w:fill="F3F6FA"/>
            <w:vAlign w:val="center"/>
          </w:tcPr>
          <w:p w14:paraId="1308CC5B" w14:textId="77777777" w:rsidR="00632D2B" w:rsidRDefault="00000000">
            <w:r>
              <w:rPr>
                <w:sz w:val="18"/>
              </w:rPr>
              <w:lastRenderedPageBreak/>
              <w:t>OpenMed package</w:t>
            </w:r>
          </w:p>
        </w:tc>
        <w:tc>
          <w:tcPr>
            <w:tcW w:w="2520" w:type="dxa"/>
            <w:shd w:val="clear" w:color="auto" w:fill="F3F6FA"/>
            <w:vAlign w:val="center"/>
          </w:tcPr>
          <w:p w14:paraId="539471B6" w14:textId="77777777" w:rsidR="00632D2B" w:rsidRDefault="00000000">
            <w:r>
              <w:rPr>
                <w:sz w:val="18"/>
              </w:rPr>
              <w:t>Yes; it is the first medical AI engine used by MedNexus</w:t>
            </w:r>
          </w:p>
        </w:tc>
        <w:tc>
          <w:tcPr>
            <w:tcW w:w="2520" w:type="dxa"/>
            <w:shd w:val="clear" w:color="auto" w:fill="F3F6FA"/>
            <w:vAlign w:val="center"/>
          </w:tcPr>
          <w:p w14:paraId="00DB24DE" w14:textId="77777777" w:rsidR="00632D2B" w:rsidRDefault="00000000">
            <w:r>
              <w:rPr>
                <w:sz w:val="18"/>
              </w:rPr>
              <w:t>No; it is an external open-source dependency</w:t>
            </w:r>
          </w:p>
        </w:tc>
        <w:tc>
          <w:tcPr>
            <w:tcW w:w="2520" w:type="dxa"/>
            <w:shd w:val="clear" w:color="auto" w:fill="F3F6FA"/>
            <w:vAlign w:val="center"/>
          </w:tcPr>
          <w:p w14:paraId="722212A4" w14:textId="77777777" w:rsidR="00632D2B" w:rsidRDefault="00000000">
            <w:r>
              <w:rPr>
                <w:sz w:val="18"/>
              </w:rPr>
              <w:t>Pinned by version, wrapped through an adapter, tested, benchmarked, and replaceable.</w:t>
            </w:r>
          </w:p>
        </w:tc>
      </w:tr>
      <w:tr w:rsidR="00632D2B" w14:paraId="1F0FEB01" w14:textId="77777777">
        <w:trPr>
          <w:jc w:val="center"/>
        </w:trPr>
        <w:tc>
          <w:tcPr>
            <w:tcW w:w="2520" w:type="dxa"/>
            <w:vAlign w:val="center"/>
          </w:tcPr>
          <w:p w14:paraId="3B51BA1A" w14:textId="77777777" w:rsidR="00632D2B" w:rsidRDefault="00000000">
            <w:r>
              <w:rPr>
                <w:sz w:val="18"/>
              </w:rPr>
              <w:t>Transformers / Torch</w:t>
            </w:r>
          </w:p>
        </w:tc>
        <w:tc>
          <w:tcPr>
            <w:tcW w:w="2520" w:type="dxa"/>
            <w:vAlign w:val="center"/>
          </w:tcPr>
          <w:p w14:paraId="495D45D2" w14:textId="77777777" w:rsidR="00632D2B" w:rsidRDefault="00000000">
            <w:r>
              <w:rPr>
                <w:sz w:val="18"/>
              </w:rPr>
              <w:t>Yes; they provide the AI runtime used by OpenMed and future engines</w:t>
            </w:r>
          </w:p>
        </w:tc>
        <w:tc>
          <w:tcPr>
            <w:tcW w:w="2520" w:type="dxa"/>
            <w:vAlign w:val="center"/>
          </w:tcPr>
          <w:p w14:paraId="1A4C62FB" w14:textId="77777777" w:rsidR="00632D2B" w:rsidRDefault="00000000">
            <w:r>
              <w:rPr>
                <w:sz w:val="18"/>
              </w:rPr>
              <w:t>No</w:t>
            </w:r>
          </w:p>
        </w:tc>
        <w:tc>
          <w:tcPr>
            <w:tcW w:w="2520" w:type="dxa"/>
            <w:vAlign w:val="center"/>
          </w:tcPr>
          <w:p w14:paraId="7F7DFAEA" w14:textId="77777777" w:rsidR="00632D2B" w:rsidRDefault="00000000">
            <w:r>
              <w:rPr>
                <w:sz w:val="18"/>
              </w:rPr>
              <w:t>Pinned, compatibility-tested, and isolated behind engine adapters.</w:t>
            </w:r>
          </w:p>
        </w:tc>
      </w:tr>
      <w:tr w:rsidR="00632D2B" w14:paraId="5ECCFBA2" w14:textId="77777777">
        <w:trPr>
          <w:jc w:val="center"/>
        </w:trPr>
        <w:tc>
          <w:tcPr>
            <w:tcW w:w="2520" w:type="dxa"/>
            <w:shd w:val="clear" w:color="auto" w:fill="F3F6FA"/>
            <w:vAlign w:val="center"/>
          </w:tcPr>
          <w:p w14:paraId="40B752EA" w14:textId="77777777" w:rsidR="00632D2B" w:rsidRDefault="00000000">
            <w:r>
              <w:rPr>
                <w:sz w:val="18"/>
              </w:rPr>
              <w:t>FastAPI / Pydantic / Uvicorn</w:t>
            </w:r>
          </w:p>
        </w:tc>
        <w:tc>
          <w:tcPr>
            <w:tcW w:w="2520" w:type="dxa"/>
            <w:shd w:val="clear" w:color="auto" w:fill="F3F6FA"/>
            <w:vAlign w:val="center"/>
          </w:tcPr>
          <w:p w14:paraId="53F4B4C5" w14:textId="77777777" w:rsidR="00632D2B" w:rsidRDefault="00000000">
            <w:r>
              <w:rPr>
                <w:sz w:val="18"/>
              </w:rPr>
              <w:t>Yes; they provide the application runtime</w:t>
            </w:r>
          </w:p>
        </w:tc>
        <w:tc>
          <w:tcPr>
            <w:tcW w:w="2520" w:type="dxa"/>
            <w:shd w:val="clear" w:color="auto" w:fill="F3F6FA"/>
            <w:vAlign w:val="center"/>
          </w:tcPr>
          <w:p w14:paraId="6DC7DAA1" w14:textId="77777777" w:rsidR="00632D2B" w:rsidRDefault="00000000">
            <w:r>
              <w:rPr>
                <w:sz w:val="18"/>
              </w:rPr>
              <w:t>No</w:t>
            </w:r>
          </w:p>
        </w:tc>
        <w:tc>
          <w:tcPr>
            <w:tcW w:w="2520" w:type="dxa"/>
            <w:shd w:val="clear" w:color="auto" w:fill="F3F6FA"/>
            <w:vAlign w:val="center"/>
          </w:tcPr>
          <w:p w14:paraId="271B565D" w14:textId="77777777" w:rsidR="00632D2B" w:rsidRDefault="00000000">
            <w:r>
              <w:rPr>
                <w:sz w:val="18"/>
              </w:rPr>
              <w:t>Managed through requirements and architecture boundaries.</w:t>
            </w:r>
          </w:p>
        </w:tc>
      </w:tr>
      <w:tr w:rsidR="00632D2B" w14:paraId="2FE21CFE" w14:textId="77777777">
        <w:trPr>
          <w:jc w:val="center"/>
        </w:trPr>
        <w:tc>
          <w:tcPr>
            <w:tcW w:w="2520" w:type="dxa"/>
            <w:vAlign w:val="center"/>
          </w:tcPr>
          <w:p w14:paraId="78DE6B7C" w14:textId="77777777" w:rsidR="00632D2B" w:rsidRDefault="00000000">
            <w:r>
              <w:rPr>
                <w:sz w:val="18"/>
              </w:rPr>
              <w:t>MedNexus backend/frontend/tests</w:t>
            </w:r>
          </w:p>
        </w:tc>
        <w:tc>
          <w:tcPr>
            <w:tcW w:w="2520" w:type="dxa"/>
            <w:vAlign w:val="center"/>
          </w:tcPr>
          <w:p w14:paraId="07CE7AFF" w14:textId="77777777" w:rsidR="00632D2B" w:rsidRDefault="00000000">
            <w:r>
              <w:rPr>
                <w:sz w:val="18"/>
              </w:rPr>
              <w:t>Yes</w:t>
            </w:r>
          </w:p>
        </w:tc>
        <w:tc>
          <w:tcPr>
            <w:tcW w:w="2520" w:type="dxa"/>
            <w:vAlign w:val="center"/>
          </w:tcPr>
          <w:p w14:paraId="1751415C" w14:textId="77777777" w:rsidR="00632D2B" w:rsidRDefault="00000000">
            <w:r>
              <w:rPr>
                <w:sz w:val="18"/>
              </w:rPr>
              <w:t>Yes</w:t>
            </w:r>
          </w:p>
        </w:tc>
        <w:tc>
          <w:tcPr>
            <w:tcW w:w="2520" w:type="dxa"/>
            <w:vAlign w:val="center"/>
          </w:tcPr>
          <w:p w14:paraId="23452D28" w14:textId="77777777" w:rsidR="00632D2B" w:rsidRDefault="00000000">
            <w:r>
              <w:rPr>
                <w:sz w:val="18"/>
              </w:rPr>
              <w:t>Reviewed, version-controlled, tested, documented, and evolved by the project.</w:t>
            </w:r>
          </w:p>
        </w:tc>
      </w:tr>
      <w:tr w:rsidR="00632D2B" w14:paraId="0EF05768" w14:textId="77777777">
        <w:trPr>
          <w:jc w:val="center"/>
        </w:trPr>
        <w:tc>
          <w:tcPr>
            <w:tcW w:w="2520" w:type="dxa"/>
            <w:shd w:val="clear" w:color="auto" w:fill="F3F6FA"/>
            <w:vAlign w:val="center"/>
          </w:tcPr>
          <w:p w14:paraId="107EFE5D" w14:textId="77777777" w:rsidR="00632D2B" w:rsidRDefault="00000000">
            <w:r>
              <w:rPr>
                <w:sz w:val="18"/>
              </w:rPr>
              <w:t>Model caches / pip cache</w:t>
            </w:r>
          </w:p>
        </w:tc>
        <w:tc>
          <w:tcPr>
            <w:tcW w:w="2520" w:type="dxa"/>
            <w:shd w:val="clear" w:color="auto" w:fill="F3F6FA"/>
            <w:vAlign w:val="center"/>
          </w:tcPr>
          <w:p w14:paraId="72F0F133" w14:textId="77777777" w:rsidR="00632D2B" w:rsidRDefault="00000000">
            <w:r>
              <w:rPr>
                <w:sz w:val="18"/>
              </w:rPr>
              <w:t>Useful for offline speed and reproducibility</w:t>
            </w:r>
          </w:p>
        </w:tc>
        <w:tc>
          <w:tcPr>
            <w:tcW w:w="2520" w:type="dxa"/>
            <w:shd w:val="clear" w:color="auto" w:fill="F3F6FA"/>
            <w:vAlign w:val="center"/>
          </w:tcPr>
          <w:p w14:paraId="2062334E" w14:textId="77777777" w:rsidR="00632D2B" w:rsidRDefault="00000000">
            <w:r>
              <w:rPr>
                <w:sz w:val="18"/>
              </w:rPr>
              <w:t>No</w:t>
            </w:r>
          </w:p>
        </w:tc>
        <w:tc>
          <w:tcPr>
            <w:tcW w:w="2520" w:type="dxa"/>
            <w:shd w:val="clear" w:color="auto" w:fill="F3F6FA"/>
            <w:vAlign w:val="center"/>
          </w:tcPr>
          <w:p w14:paraId="725701E3" w14:textId="77777777" w:rsidR="00632D2B" w:rsidRDefault="00000000">
            <w:r>
              <w:rPr>
                <w:sz w:val="18"/>
              </w:rPr>
              <w:t>Operational cache; not a canonical source artifact.</w:t>
            </w:r>
          </w:p>
        </w:tc>
      </w:tr>
      <w:tr w:rsidR="00632D2B" w14:paraId="5561D4DE" w14:textId="77777777">
        <w:trPr>
          <w:jc w:val="center"/>
        </w:trPr>
        <w:tc>
          <w:tcPr>
            <w:tcW w:w="2520" w:type="dxa"/>
            <w:vAlign w:val="center"/>
          </w:tcPr>
          <w:p w14:paraId="3555E0A9" w14:textId="77777777" w:rsidR="00632D2B" w:rsidRDefault="00000000">
            <w:r>
              <w:rPr>
                <w:sz w:val="18"/>
              </w:rPr>
              <w:t>AI model weights</w:t>
            </w:r>
          </w:p>
        </w:tc>
        <w:tc>
          <w:tcPr>
            <w:tcW w:w="2520" w:type="dxa"/>
            <w:vAlign w:val="center"/>
          </w:tcPr>
          <w:p w14:paraId="3A988FDB" w14:textId="77777777" w:rsidR="00632D2B" w:rsidRDefault="00000000">
            <w:r>
              <w:rPr>
                <w:sz w:val="18"/>
              </w:rPr>
              <w:t>Part of deployment/runtime when used</w:t>
            </w:r>
          </w:p>
        </w:tc>
        <w:tc>
          <w:tcPr>
            <w:tcW w:w="2520" w:type="dxa"/>
            <w:vAlign w:val="center"/>
          </w:tcPr>
          <w:p w14:paraId="09D3A3F2" w14:textId="77777777" w:rsidR="00632D2B" w:rsidRDefault="00000000">
            <w:r>
              <w:rPr>
                <w:sz w:val="18"/>
              </w:rPr>
              <w:t>Usually external licensed artifacts</w:t>
            </w:r>
          </w:p>
        </w:tc>
        <w:tc>
          <w:tcPr>
            <w:tcW w:w="2520" w:type="dxa"/>
            <w:vAlign w:val="center"/>
          </w:tcPr>
          <w:p w14:paraId="17453729" w14:textId="77777777" w:rsidR="00632D2B" w:rsidRDefault="00000000">
            <w:r>
              <w:rPr>
                <w:sz w:val="18"/>
              </w:rPr>
              <w:t>Recorded in a model registry with version, source, license, checksum, task, and validation status.</w:t>
            </w:r>
          </w:p>
        </w:tc>
      </w:tr>
    </w:tbl>
    <w:p w14:paraId="25303299" w14:textId="77777777" w:rsidR="00632D2B" w:rsidRDefault="00632D2B"/>
    <w:p w14:paraId="4511EB47" w14:textId="77777777" w:rsidR="00632D2B" w:rsidRDefault="00000000">
      <w:r>
        <w:t>Therefore, excluding .venv from line-by-line source review does not mean it is unnecessary. It means the environment is reviewed through its declared dependency manifest, package versions, compatibility, licenses, security exposure, and reproducibility. The code inside every installed external library is not treated as if it were authored by MedNexus.</w:t>
      </w:r>
    </w:p>
    <w:p w14:paraId="5B7BD882" w14:textId="77777777" w:rsidR="00632D2B" w:rsidRDefault="00000000">
      <w:pPr>
        <w:pStyle w:val="Heading2"/>
      </w:pPr>
      <w:r>
        <w:t>4.2 OpenMed's Correct Position</w:t>
      </w:r>
    </w:p>
    <w:p w14:paraId="392DEBA3" w14:textId="77777777" w:rsidR="00632D2B" w:rsidRDefault="00000000">
      <w:r>
        <w:t>OpenMed is a replaceable external candidate detector in the current implementation. MedNexus uses it through an adapter; OpenMed output must pass through unified intelligence, purpose-based policy resolution, and MedNexus-owned output construction.</w:t>
      </w:r>
    </w:p>
    <w:p w14:paraId="31B5A215" w14:textId="77777777" w:rsidR="00632D2B" w:rsidRDefault="00000000">
      <w:r>
        <w:t>The platform must never call third-party engines directly from business APIs. All engines must remain behind standardized MedNexus adapters and a unified engine interface.</w:t>
      </w:r>
    </w:p>
    <w:p w14:paraId="2017DF9D" w14:textId="77777777" w:rsidR="00632D2B" w:rsidRDefault="00000000">
      <w:pPr>
        <w:pStyle w:val="Heading1"/>
      </w:pPr>
      <w:r>
        <w:t>5. Current Project Baseline</w:t>
      </w:r>
    </w:p>
    <w:tbl>
      <w:tblPr>
        <w:tblStyle w:val="TableGrid"/>
        <w:tblW w:w="0" w:type="auto"/>
        <w:jc w:val="center"/>
        <w:tblLook w:val="04A0" w:firstRow="1" w:lastRow="0" w:firstColumn="1" w:lastColumn="0" w:noHBand="0" w:noVBand="1"/>
      </w:tblPr>
      <w:tblGrid>
        <w:gridCol w:w="3360"/>
        <w:gridCol w:w="3360"/>
        <w:gridCol w:w="3360"/>
      </w:tblGrid>
      <w:tr w:rsidR="00632D2B" w14:paraId="36D11DED" w14:textId="77777777">
        <w:trPr>
          <w:jc w:val="center"/>
        </w:trPr>
        <w:tc>
          <w:tcPr>
            <w:tcW w:w="3360" w:type="dxa"/>
            <w:shd w:val="clear" w:color="auto" w:fill="173768"/>
            <w:vAlign w:val="center"/>
          </w:tcPr>
          <w:p w14:paraId="4EEA57A9" w14:textId="77777777" w:rsidR="00632D2B" w:rsidRDefault="00000000">
            <w:r>
              <w:rPr>
                <w:b/>
                <w:color w:val="FFFFFF"/>
                <w:sz w:val="18"/>
              </w:rPr>
              <w:t>Capability</w:t>
            </w:r>
          </w:p>
        </w:tc>
        <w:tc>
          <w:tcPr>
            <w:tcW w:w="3360" w:type="dxa"/>
            <w:shd w:val="clear" w:color="auto" w:fill="173768"/>
            <w:vAlign w:val="center"/>
          </w:tcPr>
          <w:p w14:paraId="0F31CF21" w14:textId="77777777" w:rsidR="00632D2B" w:rsidRDefault="00000000">
            <w:r>
              <w:rPr>
                <w:b/>
                <w:color w:val="FFFFFF"/>
                <w:sz w:val="18"/>
              </w:rPr>
              <w:t>Current State</w:t>
            </w:r>
          </w:p>
        </w:tc>
        <w:tc>
          <w:tcPr>
            <w:tcW w:w="3360" w:type="dxa"/>
            <w:shd w:val="clear" w:color="auto" w:fill="173768"/>
            <w:vAlign w:val="center"/>
          </w:tcPr>
          <w:p w14:paraId="04E3EB93" w14:textId="77777777" w:rsidR="00632D2B" w:rsidRDefault="00000000">
            <w:r>
              <w:rPr>
                <w:b/>
                <w:color w:val="FFFFFF"/>
                <w:sz w:val="18"/>
              </w:rPr>
              <w:t>Assessment</w:t>
            </w:r>
          </w:p>
        </w:tc>
      </w:tr>
      <w:tr w:rsidR="00632D2B" w14:paraId="2D016451" w14:textId="77777777">
        <w:trPr>
          <w:jc w:val="center"/>
        </w:trPr>
        <w:tc>
          <w:tcPr>
            <w:tcW w:w="3360" w:type="dxa"/>
            <w:vAlign w:val="center"/>
          </w:tcPr>
          <w:p w14:paraId="0F75D76E" w14:textId="77777777" w:rsidR="00632D2B" w:rsidRDefault="00000000">
            <w:r>
              <w:rPr>
                <w:sz w:val="18"/>
              </w:rPr>
              <w:t>Python environment</w:t>
            </w:r>
          </w:p>
        </w:tc>
        <w:tc>
          <w:tcPr>
            <w:tcW w:w="3360" w:type="dxa"/>
            <w:vAlign w:val="center"/>
          </w:tcPr>
          <w:p w14:paraId="36D651A1" w14:textId="77777777" w:rsidR="00632D2B" w:rsidRDefault="00000000">
            <w:r>
              <w:rPr>
                <w:sz w:val="18"/>
              </w:rPr>
              <w:t>Created on Windows with pinned primary dependencies</w:t>
            </w:r>
          </w:p>
        </w:tc>
        <w:tc>
          <w:tcPr>
            <w:tcW w:w="3360" w:type="dxa"/>
            <w:vAlign w:val="center"/>
          </w:tcPr>
          <w:p w14:paraId="57066FF1" w14:textId="77777777" w:rsidR="00632D2B" w:rsidRDefault="00000000">
            <w:r>
              <w:rPr>
                <w:sz w:val="18"/>
              </w:rPr>
              <w:t>Operational prototype environment.</w:t>
            </w:r>
          </w:p>
        </w:tc>
      </w:tr>
      <w:tr w:rsidR="00632D2B" w14:paraId="37335C03" w14:textId="77777777">
        <w:trPr>
          <w:jc w:val="center"/>
        </w:trPr>
        <w:tc>
          <w:tcPr>
            <w:tcW w:w="3360" w:type="dxa"/>
            <w:shd w:val="clear" w:color="auto" w:fill="F3F6FA"/>
            <w:vAlign w:val="center"/>
          </w:tcPr>
          <w:p w14:paraId="29724341" w14:textId="77777777" w:rsidR="00632D2B" w:rsidRDefault="00000000">
            <w:r>
              <w:rPr>
                <w:sz w:val="18"/>
              </w:rPr>
              <w:t>OpenMed integration</w:t>
            </w:r>
          </w:p>
        </w:tc>
        <w:tc>
          <w:tcPr>
            <w:tcW w:w="3360" w:type="dxa"/>
            <w:shd w:val="clear" w:color="auto" w:fill="F3F6FA"/>
            <w:vAlign w:val="center"/>
          </w:tcPr>
          <w:p>
            <w:r>
              <w:t>OpenMed adapter integrated as an external candidate detector</w:t>
            </w:r>
          </w:p>
        </w:tc>
        <w:tc>
          <w:tcPr>
            <w:tcW w:w="3360" w:type="dxa"/>
            <w:shd w:val="clear" w:color="auto" w:fill="F3F6FA"/>
            <w:vAlign w:val="center"/>
          </w:tcPr>
          <w:p>
            <w:r>
              <w:t>OpenMed is no longer authoritative for final de-identified text; MedNexus owns validation, merging, policy decisions, and output.</w:t>
            </w:r>
          </w:p>
        </w:tc>
      </w:tr>
      <w:tr w:rsidR="00632D2B" w14:paraId="38F1835D" w14:textId="77777777">
        <w:trPr>
          <w:jc w:val="center"/>
        </w:trPr>
        <w:tc>
          <w:tcPr>
            <w:tcW w:w="3360" w:type="dxa"/>
            <w:vAlign w:val="center"/>
          </w:tcPr>
          <w:p w14:paraId="485DB136" w14:textId="77777777" w:rsidR="00632D2B" w:rsidRDefault="00000000">
            <w:r>
              <w:rPr>
                <w:sz w:val="18"/>
              </w:rPr>
              <w:t>API</w:t>
            </w:r>
          </w:p>
        </w:tc>
        <w:tc>
          <w:tcPr>
            <w:tcW w:w="3360" w:type="dxa"/>
            <w:vAlign w:val="center"/>
          </w:tcPr>
          <w:p w14:paraId="4D644174" w14:textId="77777777" w:rsidR="00632D2B" w:rsidRDefault="00000000">
            <w:r>
              <w:rPr>
                <w:sz w:val="18"/>
              </w:rPr>
              <w:t>FastAPI application and /api/v1/document/deidentify endpoint</w:t>
            </w:r>
          </w:p>
        </w:tc>
        <w:tc>
          <w:tcPr>
            <w:tcW w:w="3360" w:type="dxa"/>
            <w:vAlign w:val="center"/>
          </w:tcPr>
          <w:p w14:paraId="1A2FDB01" w14:textId="77777777" w:rsidR="00632D2B" w:rsidRDefault="00000000">
            <w:r>
              <w:rPr>
                <w:sz w:val="18"/>
              </w:rPr>
              <w:t>Good API-first start.</w:t>
            </w:r>
          </w:p>
        </w:tc>
      </w:tr>
      <w:tr w:rsidR="00632D2B" w14:paraId="176337DA" w14:textId="77777777">
        <w:trPr>
          <w:jc w:val="center"/>
        </w:trPr>
        <w:tc>
          <w:tcPr>
            <w:tcW w:w="3360" w:type="dxa"/>
            <w:shd w:val="clear" w:color="auto" w:fill="F3F6FA"/>
            <w:vAlign w:val="center"/>
          </w:tcPr>
          <w:p w14:paraId="244963FF" w14:textId="77777777" w:rsidR="00632D2B" w:rsidRDefault="00000000">
            <w:r>
              <w:rPr>
                <w:sz w:val="18"/>
              </w:rPr>
              <w:t>Web UI</w:t>
            </w:r>
          </w:p>
        </w:tc>
        <w:tc>
          <w:tcPr>
            <w:tcW w:w="3360" w:type="dxa"/>
            <w:shd w:val="clear" w:color="auto" w:fill="F3F6FA"/>
            <w:vAlign w:val="center"/>
          </w:tcPr>
          <w:p w14:paraId="2E8E05FB" w14:textId="77777777" w:rsidR="00632D2B" w:rsidRDefault="00000000">
            <w:r>
              <w:rPr>
                <w:sz w:val="18"/>
              </w:rPr>
              <w:t>Basic text input and result display</w:t>
            </w:r>
          </w:p>
        </w:tc>
        <w:tc>
          <w:tcPr>
            <w:tcW w:w="3360" w:type="dxa"/>
            <w:shd w:val="clear" w:color="auto" w:fill="F3F6FA"/>
            <w:vAlign w:val="center"/>
          </w:tcPr>
          <w:p w14:paraId="19882795" w14:textId="77777777" w:rsidR="00632D2B" w:rsidRDefault="00000000">
            <w:r>
              <w:rPr>
                <w:sz w:val="18"/>
              </w:rPr>
              <w:t>Suitable for validation; not yet an enterprise UI.</w:t>
            </w:r>
          </w:p>
        </w:tc>
      </w:tr>
      <w:tr w:rsidR="00632D2B" w14:paraId="1A87E013" w14:textId="77777777">
        <w:trPr>
          <w:jc w:val="center"/>
        </w:trPr>
        <w:tc>
          <w:tcPr>
            <w:tcW w:w="3360" w:type="dxa"/>
            <w:vAlign w:val="center"/>
          </w:tcPr>
          <w:p w14:paraId="54626CED" w14:textId="77777777" w:rsidR="00632D2B" w:rsidRDefault="00000000">
            <w:r>
              <w:rPr>
                <w:sz w:val="18"/>
              </w:rPr>
              <w:t>Service layer</w:t>
            </w:r>
          </w:p>
        </w:tc>
        <w:tc>
          <w:tcPr>
            <w:tcW w:w="3360" w:type="dxa"/>
            <w:vAlign w:val="center"/>
          </w:tcPr>
          <w:p>
            <w:r>
              <w:t>DeidentificationService is wired to the MedNexus Intelligence Orchestrator and Output Builder</w:t>
            </w:r>
          </w:p>
        </w:tc>
        <w:tc>
          <w:tcPr>
            <w:tcW w:w="3360" w:type="dxa"/>
            <w:vAlign w:val="center"/>
          </w:tcPr>
          <w:p>
            <w:r>
              <w:t>The real service now executes the MedNexus-owned intelligence path end-to-end for the current text workflow.</w:t>
            </w:r>
          </w:p>
        </w:tc>
      </w:tr>
      <w:tr w:rsidR="00632D2B" w14:paraId="5C6A35C0" w14:textId="77777777">
        <w:trPr>
          <w:jc w:val="center"/>
        </w:trPr>
        <w:tc>
          <w:tcPr>
            <w:tcW w:w="3360" w:type="dxa"/>
            <w:shd w:val="clear" w:color="auto" w:fill="F3F6FA"/>
            <w:vAlign w:val="center"/>
          </w:tcPr>
          <w:p w14:paraId="69ABEDF3" w14:textId="77777777" w:rsidR="00632D2B" w:rsidRDefault="00000000">
            <w:r>
              <w:rPr>
                <w:sz w:val="18"/>
              </w:rPr>
              <w:t>Policy taxonomy</w:t>
            </w:r>
          </w:p>
        </w:tc>
        <w:tc>
          <w:tcPr>
            <w:tcW w:w="3360" w:type="dxa"/>
            <w:shd w:val="clear" w:color="auto" w:fill="F3F6FA"/>
            <w:vAlign w:val="center"/>
          </w:tcPr>
          <w:p>
            <w:r>
              <w:t>MedNexus canonical entity model and policy/context taxonomy integrated</w:t>
            </w:r>
          </w:p>
        </w:tc>
        <w:tc>
          <w:tcPr>
            <w:tcW w:w="3360" w:type="dxa"/>
            <w:shd w:val="clear" w:color="auto" w:fill="F3F6FA"/>
            <w:vAlign w:val="center"/>
          </w:tcPr>
          <w:p>
            <w:r>
              <w:t>Canonicalization and policy ownership are now part of the MedNexus intelligence boundary.</w:t>
            </w:r>
          </w:p>
        </w:tc>
      </w:tr>
      <w:tr w:rsidR="00632D2B" w14:paraId="74C88F9E" w14:textId="77777777">
        <w:trPr>
          <w:jc w:val="center"/>
        </w:trPr>
        <w:tc>
          <w:tcPr>
            <w:tcW w:w="3360" w:type="dxa"/>
            <w:vAlign w:val="center"/>
          </w:tcPr>
          <w:p w14:paraId="719CFBA3" w14:textId="77777777" w:rsidR="00632D2B" w:rsidRDefault="00000000">
            <w:r>
              <w:rPr>
                <w:sz w:val="18"/>
              </w:rPr>
              <w:t>Policy profiles</w:t>
            </w:r>
          </w:p>
        </w:tc>
        <w:tc>
          <w:tcPr>
            <w:tcW w:w="3360" w:type="dxa"/>
            <w:vAlign w:val="center"/>
          </w:tcPr>
          <w:p>
            <w:r>
              <w:t>Four canonical purpose profiles with PolicyRule/PolicyDefinition and legacy aliases</w:t>
            </w:r>
          </w:p>
        </w:tc>
        <w:tc>
          <w:tcPr>
            <w:tcW w:w="3360" w:type="dxa"/>
            <w:vAlign w:val="center"/>
          </w:tcPr>
          <w:p>
            <w:r>
              <w:t>Clinical, Research, Analytics/Public Health, and Strict Privacy use one policy resolver and pipeline.</w:t>
            </w:r>
          </w:p>
        </w:tc>
      </w:tr>
      <w:tr w:rsidR="00632D2B" w14:paraId="1F64B8D5" w14:textId="77777777">
        <w:trPr>
          <w:jc w:val="center"/>
        </w:trPr>
        <w:tc>
          <w:tcPr>
            <w:tcW w:w="3360" w:type="dxa"/>
            <w:shd w:val="clear" w:color="auto" w:fill="F3F6FA"/>
            <w:vAlign w:val="center"/>
          </w:tcPr>
          <w:p w14:paraId="4D3A8913" w14:textId="77777777" w:rsidR="00632D2B" w:rsidRDefault="00000000">
            <w:r>
              <w:rPr>
                <w:sz w:val="18"/>
              </w:rPr>
              <w:t>Context detection</w:t>
            </w:r>
          </w:p>
        </w:tc>
        <w:tc>
          <w:tcPr>
            <w:tcW w:w="3360" w:type="dxa"/>
            <w:shd w:val="clear" w:color="auto" w:fill="F3F6FA"/>
            <w:vAlign w:val="center"/>
          </w:tcPr>
          <w:p>
            <w:r>
              <w:t>Deterministic/context detection integrated with Arabic and English identifier coverage</w:t>
            </w:r>
          </w:p>
        </w:tc>
        <w:tc>
          <w:tcPr>
            <w:tcW w:w="3360" w:type="dxa"/>
            <w:shd w:val="clear" w:color="auto" w:fill="F3F6FA"/>
            <w:vAlign w:val="center"/>
          </w:tcPr>
          <w:p>
            <w:r>
              <w:t>High-precision detection now covers key structured identifiers and contextual patient/relative/signature cases.</w:t>
            </w:r>
          </w:p>
        </w:tc>
      </w:tr>
      <w:tr w:rsidR="00632D2B" w14:paraId="282C6636" w14:textId="77777777">
        <w:trPr>
          <w:jc w:val="center"/>
        </w:trPr>
        <w:tc>
          <w:tcPr>
            <w:tcW w:w="3360" w:type="dxa"/>
            <w:vAlign w:val="center"/>
          </w:tcPr>
          <w:p w14:paraId="761388C2" w14:textId="77777777" w:rsidR="00632D2B" w:rsidRDefault="00000000">
            <w:r>
              <w:rPr>
                <w:sz w:val="18"/>
              </w:rPr>
              <w:t>Protection layers</w:t>
            </w:r>
          </w:p>
        </w:tc>
        <w:tc>
          <w:tcPr>
            <w:tcW w:w="3360" w:type="dxa"/>
            <w:vAlign w:val="center"/>
          </w:tcPr>
          <w:p>
            <w:r>
              <w:t>RoleResolver and ContextValidator integrated with policy/protection layers</w:t>
            </w:r>
          </w:p>
        </w:tc>
        <w:tc>
          <w:tcPr>
            <w:tcW w:w="3360" w:type="dxa"/>
            <w:vAlign w:val="center"/>
          </w:tcPr>
          <w:p>
            <w:r>
              <w:t>Clinical roles and document context are validated before final transformation decisions.</w:t>
            </w:r>
          </w:p>
        </w:tc>
      </w:tr>
      <w:tr w:rsidR="00632D2B" w14:paraId="67BF35F9" w14:textId="77777777">
        <w:trPr>
          <w:jc w:val="center"/>
        </w:trPr>
        <w:tc>
          <w:tcPr>
            <w:tcW w:w="3360" w:type="dxa"/>
            <w:shd w:val="clear" w:color="auto" w:fill="F3F6FA"/>
            <w:vAlign w:val="center"/>
          </w:tcPr>
          <w:p w14:paraId="4A59EF92" w14:textId="77777777" w:rsidR="00632D2B" w:rsidRDefault="00000000">
            <w:r>
              <w:rPr>
                <w:sz w:val="18"/>
              </w:rPr>
              <w:lastRenderedPageBreak/>
              <w:t>DetectedEntity schema</w:t>
            </w:r>
          </w:p>
        </w:tc>
        <w:tc>
          <w:tcPr>
            <w:tcW w:w="3360" w:type="dxa"/>
            <w:shd w:val="clear" w:color="auto" w:fill="F3F6FA"/>
            <w:vAlign w:val="center"/>
          </w:tcPr>
          <w:p>
            <w:r>
              <w:t>MedNexusCandidateEntity + EntityCanonicalizer provide the current internal candidate contract</w:t>
            </w:r>
          </w:p>
        </w:tc>
        <w:tc>
          <w:tcPr>
            <w:tcW w:w="3360" w:type="dxa"/>
            <w:shd w:val="clear" w:color="auto" w:fill="F3F6FA"/>
            <w:vAlign w:val="center"/>
          </w:tcPr>
          <w:p>
            <w:r>
              <w:t>Unified MedNexus-owned candidate representation is integrated in the Intelligence Core.</w:t>
            </w:r>
          </w:p>
        </w:tc>
      </w:tr>
      <w:tr w:rsidR="00632D2B" w14:paraId="0E4CE0AE" w14:textId="77777777">
        <w:trPr>
          <w:jc w:val="center"/>
        </w:trPr>
        <w:tc>
          <w:tcPr>
            <w:tcW w:w="3360" w:type="dxa"/>
            <w:vAlign w:val="center"/>
          </w:tcPr>
          <w:p w14:paraId="2D8675DD" w14:textId="77777777" w:rsidR="00632D2B" w:rsidRDefault="00000000">
            <w:r>
              <w:rPr>
                <w:sz w:val="18"/>
              </w:rPr>
              <w:t>Testing</w:t>
            </w:r>
          </w:p>
        </w:tc>
        <w:tc>
          <w:tcPr>
            <w:tcW w:w="3360" w:type="dxa"/>
            <w:vAlign w:val="center"/>
          </w:tcPr>
          <w:p>
            <w:r>
              <w:t>Full regression suite: 671 passed, 8 warnings, 0 failures</w:t>
            </w:r>
          </w:p>
        </w:tc>
        <w:tc>
          <w:tcPr>
            <w:tcW w:w="3360" w:type="dxa"/>
            <w:vAlign w:val="center"/>
          </w:tcPr>
          <w:p>
            <w:r>
              <w:t>Strong current baseline; production certification and formal privacy/utility risk assessment remain future gates.</w:t>
            </w:r>
          </w:p>
        </w:tc>
      </w:tr>
      <w:tr w:rsidR="00632D2B" w14:paraId="3AB5ACCC" w14:textId="77777777">
        <w:trPr>
          <w:jc w:val="center"/>
        </w:trPr>
        <w:tc>
          <w:tcPr>
            <w:tcW w:w="3360" w:type="dxa"/>
            <w:shd w:val="clear" w:color="auto" w:fill="F3F6FA"/>
            <w:vAlign w:val="center"/>
          </w:tcPr>
          <w:p w14:paraId="36541AC6" w14:textId="77777777" w:rsidR="00632D2B" w:rsidRDefault="00000000">
            <w:r>
              <w:rPr>
                <w:sz w:val="18"/>
              </w:rPr>
              <w:t>Document files</w:t>
            </w:r>
          </w:p>
        </w:tc>
        <w:tc>
          <w:tcPr>
            <w:tcW w:w="3360" w:type="dxa"/>
            <w:shd w:val="clear" w:color="auto" w:fill="F3F6FA"/>
            <w:vAlign w:val="center"/>
          </w:tcPr>
          <w:p>
            <w:r>
              <w:t>TXT, DOCX, and text-based PDF ingestion are implemented through the unified DocumentContent contract, extractor registry/factory, and FileProcessingService.</w:t>
            </w:r>
          </w:p>
        </w:tc>
        <w:tc>
          <w:tcPr>
            <w:tcW w:w="3360" w:type="dxa"/>
            <w:shd w:val="clear" w:color="auto" w:fill="F3F6FA"/>
            <w:vAlign w:val="center"/>
          </w:tcPr>
          <w:p>
            <w:r>
              <w:t>The file upload/de-identification API routes extracted text into the same MedNexus-owned De-identification Intelligence pipeline. Scanned or image-based PDF OCR is not yet implemented.</w:t>
            </w:r>
          </w:p>
        </w:tc>
      </w:tr>
      <w:tr w:rsidR="00632D2B" w14:paraId="33579359" w14:textId="77777777">
        <w:trPr>
          <w:jc w:val="center"/>
        </w:trPr>
        <w:tc>
          <w:tcPr>
            <w:tcW w:w="3360" w:type="dxa"/>
            <w:vAlign w:val="center"/>
          </w:tcPr>
          <w:p w14:paraId="66B2F0CA" w14:textId="77777777" w:rsidR="00632D2B" w:rsidRDefault="00000000">
            <w:r>
              <w:rPr>
                <w:sz w:val="18"/>
              </w:rPr>
              <w:t>Clinical extraction</w:t>
            </w:r>
          </w:p>
        </w:tc>
        <w:tc>
          <w:tcPr>
            <w:tcW w:w="3360" w:type="dxa"/>
            <w:vAlign w:val="center"/>
          </w:tcPr>
          <w:p>
            <w:r>
              <w:t>Not yet implemented as the next platform capability</w:t>
            </w:r>
          </w:p>
        </w:tc>
        <w:tc>
          <w:tcPr>
            <w:tcW w:w="3360" w:type="dxa"/>
            <w:vAlign w:val="center"/>
          </w:tcPr>
          <w:p>
            <w:r>
              <w:t>Next major functional stage after completing the current de-identification pipeline and ingestion gates.</w:t>
            </w:r>
          </w:p>
        </w:tc>
      </w:tr>
      <w:tr w:rsidR="00632D2B" w14:paraId="008BBDA4" w14:textId="77777777">
        <w:trPr>
          <w:jc w:val="center"/>
        </w:trPr>
        <w:tc>
          <w:tcPr>
            <w:tcW w:w="3360" w:type="dxa"/>
            <w:shd w:val="clear" w:color="auto" w:fill="F3F6FA"/>
            <w:vAlign w:val="center"/>
          </w:tcPr>
          <w:p w14:paraId="41BC967F" w14:textId="77777777" w:rsidR="00632D2B" w:rsidRDefault="00000000">
            <w:r>
              <w:rPr>
                <w:sz w:val="18"/>
              </w:rPr>
              <w:t>Terminology mapping</w:t>
            </w:r>
          </w:p>
        </w:tc>
        <w:tc>
          <w:tcPr>
            <w:tcW w:w="3360" w:type="dxa"/>
            <w:shd w:val="clear" w:color="auto" w:fill="F3F6FA"/>
            <w:vAlign w:val="center"/>
          </w:tcPr>
          <w:p w14:paraId="7AE665D1" w14:textId="77777777" w:rsidR="00632D2B" w:rsidRDefault="00000000">
            <w:r>
              <w:rPr>
                <w:sz w:val="18"/>
              </w:rPr>
              <w:t>Not implemented</w:t>
            </w:r>
          </w:p>
        </w:tc>
        <w:tc>
          <w:tcPr>
            <w:tcW w:w="3360" w:type="dxa"/>
            <w:shd w:val="clear" w:color="auto" w:fill="F3F6FA"/>
            <w:vAlign w:val="center"/>
          </w:tcPr>
          <w:p w14:paraId="73DD0167" w14:textId="77777777" w:rsidR="00632D2B" w:rsidRDefault="00000000">
            <w:r>
              <w:rPr>
                <w:sz w:val="18"/>
              </w:rPr>
              <w:t>Future phase.</w:t>
            </w:r>
          </w:p>
        </w:tc>
      </w:tr>
      <w:tr w:rsidR="00632D2B" w14:paraId="7487A00E" w14:textId="77777777">
        <w:trPr>
          <w:jc w:val="center"/>
        </w:trPr>
        <w:tc>
          <w:tcPr>
            <w:tcW w:w="3360" w:type="dxa"/>
            <w:vAlign w:val="center"/>
          </w:tcPr>
          <w:p w14:paraId="0BF6DB61" w14:textId="77777777" w:rsidR="00632D2B" w:rsidRDefault="00000000">
            <w:r>
              <w:rPr>
                <w:sz w:val="18"/>
              </w:rPr>
              <w:t>Analytics</w:t>
            </w:r>
          </w:p>
        </w:tc>
        <w:tc>
          <w:tcPr>
            <w:tcW w:w="3360" w:type="dxa"/>
            <w:vAlign w:val="center"/>
          </w:tcPr>
          <w:p w14:paraId="184ABE75" w14:textId="77777777" w:rsidR="00632D2B" w:rsidRDefault="00000000">
            <w:r>
              <w:rPr>
                <w:sz w:val="18"/>
              </w:rPr>
              <w:t>Not implemented</w:t>
            </w:r>
          </w:p>
        </w:tc>
        <w:tc>
          <w:tcPr>
            <w:tcW w:w="3360" w:type="dxa"/>
            <w:vAlign w:val="center"/>
          </w:tcPr>
          <w:p w14:paraId="06793F8C" w14:textId="77777777" w:rsidR="00632D2B" w:rsidRDefault="00000000">
            <w:r>
              <w:rPr>
                <w:sz w:val="18"/>
              </w:rPr>
              <w:t>Future phase.</w:t>
            </w:r>
          </w:p>
        </w:tc>
      </w:tr>
    </w:tbl>
    <w:p w14:paraId="12143881" w14:textId="77777777" w:rsidR="00632D2B" w:rsidRDefault="00632D2B"/>
    <w:p w14:paraId="2CC86F07" w14:textId="77777777" w:rsidR="00632D2B" w:rsidRDefault="00000000">
      <w:pPr>
        <w:pStyle w:val="Heading1"/>
      </w:pPr>
      <w:r>
        <w:t>6. Current Architecture Assessment</w:t>
      </w:r>
    </w:p>
    <w:p w14:paraId="205821EF" w14:textId="77777777" w:rsidR="00632D2B" w:rsidRDefault="00000000">
      <w:pPr>
        <w:pStyle w:val="Heading2"/>
      </w:pPr>
      <w:r>
        <w:t>6.1 Strengths</w:t>
      </w:r>
    </w:p>
    <w:p w14:paraId="701A7EC0" w14:textId="77777777" w:rsidR="00632D2B" w:rsidRDefault="00000000">
      <w:pPr>
        <w:pStyle w:val="ListBullet"/>
      </w:pPr>
      <w:r>
        <w:t>A real executable prototype exists; the project is not only conceptual.</w:t>
      </w:r>
    </w:p>
    <w:p w14:paraId="437D7D0B" w14:textId="77777777" w:rsidR="00632D2B" w:rsidRDefault="00000000">
      <w:pPr>
        <w:pStyle w:val="ListBullet"/>
      </w:pPr>
      <w:r>
        <w:t>API, service, engine adapter, policy, schema, and test folders already express the intended layering.</w:t>
      </w:r>
    </w:p>
    <w:p w14:paraId="4032DB0C" w14:textId="77777777" w:rsidR="00632D2B" w:rsidRDefault="00000000">
      <w:pPr>
        <w:pStyle w:val="ListBullet"/>
      </w:pPr>
      <w:r>
        <w:t>The OpenMed dependency is isolated in backend/app/engines/openmed/engine.py rather than spread across the codebase.</w:t>
      </w:r>
    </w:p>
    <w:p w14:paraId="7A0A4335" w14:textId="77777777" w:rsidR="00632D2B" w:rsidRDefault="00000000">
      <w:pPr>
        <w:pStyle w:val="ListBullet"/>
      </w:pPr>
      <w:r>
        <w:t>PolicyRule and PolicyDefinition provide an extensible purpose-based policy model with Clinical, Research, Analytics/Public Health, and Strict Privacy profiles.</w:t>
      </w:r>
    </w:p>
    <w:p w14:paraId="76C13F03" w14:textId="77777777" w:rsidR="00632D2B" w:rsidRDefault="00000000">
      <w:pPr>
        <w:pStyle w:val="ListBullet"/>
      </w:pPr>
      <w:r>
        <w:t>Testing has accompanied most incremental components.</w:t>
      </w:r>
    </w:p>
    <w:p w14:paraId="6E9B528B" w14:textId="77777777" w:rsidR="00632D2B" w:rsidRDefault="00000000">
      <w:pPr>
        <w:pStyle w:val="ListBullet"/>
      </w:pPr>
      <w:r>
        <w:t>Synthetic reports cover multiple medical document domains and can become the start of a benchmark corpus.</w:t>
      </w:r>
    </w:p>
    <w:p w14:paraId="57BA9375" w14:textId="77777777" w:rsidR="00632D2B" w:rsidRDefault="00000000">
      <w:pPr>
        <w:pStyle w:val="ListBullet"/>
      </w:pPr>
      <w:r>
        <w:t>DetectedEntity introduces the correct direction toward a unified contract between all detection engines.</w:t>
      </w:r>
    </w:p>
    <w:p w14:paraId="2BB7DE2D" w14:textId="77777777" w:rsidR="00632D2B" w:rsidRDefault="00000000">
      <w:pPr>
        <w:pStyle w:val="Heading2"/>
      </w:pPr>
      <w:r>
        <w:t>6.2 Current Maturity</w:t>
      </w:r>
    </w:p>
    <w:p w14:paraId="47D322B0" w14:textId="77777777" w:rsidR="00632D2B" w:rsidRDefault="00000000">
      <w:r>
        <w:t>The current codebase contains an accepted Clinical Privacy Policy Engine POC and an accepted Medical Document Understanding &amp; Recognition foundation. Phase 2 reuses TXT/DOCX/text-based PDF extraction and DocumentContent, remains independent of privacy internals, and exposes standalone text/file APIs. The next milestone is Phase 2 Recognition Validation — Round 1 using a small representative healthcare-document set.</w:t>
      </w:r>
    </w:p>
    <w:p w14:paraId="09E69893" w14:textId="77777777" w:rsidR="00632D2B" w:rsidRDefault="00000000">
      <w:pPr>
        <w:pStyle w:val="Heading1"/>
      </w:pPr>
      <w:r>
        <w:t>7. Architectural Problems Identified — Current Resolution Status</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5C720C23" w14:textId="77777777">
        <w:trPr>
          <w:jc w:val="center"/>
        </w:trPr>
        <w:tc>
          <w:tcPr>
            <w:tcW w:w="2520" w:type="dxa"/>
            <w:shd w:val="clear" w:color="auto" w:fill="173768"/>
            <w:vAlign w:val="center"/>
          </w:tcPr>
          <w:p w14:paraId="6E7802AF" w14:textId="77777777" w:rsidR="00632D2B" w:rsidRDefault="00000000">
            <w:r>
              <w:rPr>
                <w:b/>
                <w:color w:val="FFFFFF"/>
                <w:sz w:val="18"/>
              </w:rPr>
              <w:t>Priority</w:t>
            </w:r>
          </w:p>
        </w:tc>
        <w:tc>
          <w:tcPr>
            <w:tcW w:w="2520" w:type="dxa"/>
            <w:shd w:val="clear" w:color="auto" w:fill="173768"/>
            <w:vAlign w:val="center"/>
          </w:tcPr>
          <w:p w14:paraId="0D0BF820" w14:textId="77777777" w:rsidR="00632D2B" w:rsidRDefault="00000000">
            <w:r>
              <w:rPr>
                <w:b/>
                <w:color w:val="FFFFFF"/>
                <w:sz w:val="18"/>
              </w:rPr>
              <w:t>Issue</w:t>
            </w:r>
          </w:p>
        </w:tc>
        <w:tc>
          <w:tcPr>
            <w:tcW w:w="2520" w:type="dxa"/>
            <w:shd w:val="clear" w:color="auto" w:fill="173768"/>
            <w:vAlign w:val="center"/>
          </w:tcPr>
          <w:p w14:paraId="1F3AA38B" w14:textId="77777777" w:rsidR="00632D2B" w:rsidRDefault="00000000">
            <w:r>
              <w:rPr>
                <w:b/>
                <w:color w:val="FFFFFF"/>
                <w:sz w:val="18"/>
              </w:rPr>
              <w:t>Impact</w:t>
            </w:r>
          </w:p>
        </w:tc>
        <w:tc>
          <w:tcPr>
            <w:tcW w:w="2520" w:type="dxa"/>
            <w:shd w:val="clear" w:color="auto" w:fill="173768"/>
            <w:vAlign w:val="center"/>
          </w:tcPr>
          <w:p w14:paraId="27A0BCA7" w14:textId="77777777" w:rsidR="00632D2B" w:rsidRDefault="00000000">
            <w:r>
              <w:rPr>
                <w:b/>
                <w:color w:val="FFFFFF"/>
                <w:sz w:val="18"/>
              </w:rPr>
              <w:t>Required Direction</w:t>
            </w:r>
          </w:p>
        </w:tc>
      </w:tr>
      <w:tr w:rsidR="00632D2B" w14:paraId="6189B9C6" w14:textId="77777777">
        <w:trPr>
          <w:jc w:val="center"/>
        </w:trPr>
        <w:tc>
          <w:tcPr>
            <w:tcW w:w="2520" w:type="dxa"/>
            <w:vAlign w:val="center"/>
          </w:tcPr>
          <w:p>
            <w:r>
              <w:t>Resolved</w:t>
            </w:r>
          </w:p>
        </w:tc>
        <w:tc>
          <w:tcPr>
            <w:tcW w:w="2520" w:type="dxa"/>
            <w:vAlign w:val="center"/>
          </w:tcPr>
          <w:p w14:paraId="5E80C82D" w14:textId="77777777" w:rsidR="00632D2B" w:rsidRDefault="00000000">
            <w:r>
              <w:rPr>
                <w:sz w:val="18"/>
              </w:rPr>
              <w:t>ContextRuleEngine produces detections, but the uploaded DeidentificationService calls PolicyTransformer without passing context_entities.</w:t>
            </w:r>
          </w:p>
        </w:tc>
        <w:tc>
          <w:tcPr>
            <w:tcW w:w="2520" w:type="dxa"/>
            <w:vAlign w:val="center"/>
          </w:tcPr>
          <w:p>
            <w:r>
              <w:t>Unified intelligence results are now integrated into the real service pipeline.</w:t>
            </w:r>
          </w:p>
        </w:tc>
        <w:tc>
          <w:tcPr>
            <w:tcW w:w="2520" w:type="dxa"/>
            <w:vAlign w:val="center"/>
          </w:tcPr>
          <w:p>
            <w:r>
              <w:t>Maintain regression coverage; do not reintroduce split decision paths.</w:t>
            </w:r>
          </w:p>
        </w:tc>
      </w:tr>
      <w:tr w:rsidR="00632D2B" w14:paraId="5C40BF81" w14:textId="77777777">
        <w:trPr>
          <w:jc w:val="center"/>
        </w:trPr>
        <w:tc>
          <w:tcPr>
            <w:tcW w:w="2520" w:type="dxa"/>
            <w:shd w:val="clear" w:color="auto" w:fill="F3F6FA"/>
            <w:vAlign w:val="center"/>
          </w:tcPr>
          <w:p>
            <w:r>
              <w:t>Resolved</w:t>
            </w:r>
          </w:p>
        </w:tc>
        <w:tc>
          <w:tcPr>
            <w:tcW w:w="2520" w:type="dxa"/>
            <w:shd w:val="clear" w:color="auto" w:fill="F3F6FA"/>
            <w:vAlign w:val="center"/>
          </w:tcPr>
          <w:p w14:paraId="1396234B" w14:textId="77777777" w:rsidR="00632D2B" w:rsidRDefault="00000000">
            <w:r>
              <w:rPr>
                <w:sz w:val="18"/>
              </w:rPr>
              <w:t>ContextRuleEngine returns tuples while DetectedEntity now exists.</w:t>
            </w:r>
          </w:p>
        </w:tc>
        <w:tc>
          <w:tcPr>
            <w:tcW w:w="2520" w:type="dxa"/>
            <w:shd w:val="clear" w:color="auto" w:fill="F3F6FA"/>
            <w:vAlign w:val="center"/>
          </w:tcPr>
          <w:p>
            <w:r>
              <w:t>The current Intelligence Core uses MedNexus-owned candidate entities and canonicalization.</w:t>
            </w:r>
          </w:p>
        </w:tc>
        <w:tc>
          <w:tcPr>
            <w:tcW w:w="2520" w:type="dxa"/>
            <w:shd w:val="clear" w:color="auto" w:fill="F3F6FA"/>
            <w:vAlign w:val="center"/>
          </w:tcPr>
          <w:p>
            <w:r>
              <w:t>Keep detector/adapter outputs normalized behind MedNexus contracts.</w:t>
            </w:r>
          </w:p>
        </w:tc>
      </w:tr>
      <w:tr w:rsidR="00632D2B" w14:paraId="1A0162E4" w14:textId="77777777">
        <w:trPr>
          <w:jc w:val="center"/>
        </w:trPr>
        <w:tc>
          <w:tcPr>
            <w:tcW w:w="2520" w:type="dxa"/>
            <w:vAlign w:val="center"/>
          </w:tcPr>
          <w:p>
            <w:r>
              <w:t>Resolved / superseded</w:t>
            </w:r>
          </w:p>
        </w:tc>
        <w:tc>
          <w:tcPr>
            <w:tcW w:w="2520" w:type="dxa"/>
            <w:vAlign w:val="center"/>
          </w:tcPr>
          <w:p>
            <w:r>
              <w:t>PolicyTransformer and its legacy regex fallback remain as compatibility code outside the authoritative service path.</w:t>
            </w:r>
          </w:p>
        </w:tc>
        <w:tc>
          <w:tcPr>
            <w:tcW w:w="2520" w:type="dxa"/>
            <w:vAlign w:val="center"/>
          </w:tcPr>
          <w:p>
            <w:r>
              <w:t>No production privacy decision depends on the compatibility transformer.</w:t>
            </w:r>
          </w:p>
        </w:tc>
        <w:tc>
          <w:tcPr>
            <w:tcW w:w="2520" w:type="dxa"/>
            <w:vAlign w:val="center"/>
          </w:tcPr>
          <w:p>
            <w:r>
              <w:t>Retain only for compatibility until removal is separately approved.</w:t>
            </w:r>
          </w:p>
        </w:tc>
      </w:tr>
      <w:tr w:rsidR="00632D2B" w14:paraId="6DC56687" w14:textId="77777777">
        <w:trPr>
          <w:jc w:val="center"/>
        </w:trPr>
        <w:tc>
          <w:tcPr>
            <w:tcW w:w="2520" w:type="dxa"/>
            <w:shd w:val="clear" w:color="auto" w:fill="F3F6FA"/>
            <w:vAlign w:val="center"/>
          </w:tcPr>
          <w:p>
            <w:r>
              <w:t>Resolved / superseded</w:t>
            </w:r>
          </w:p>
        </w:tc>
        <w:tc>
          <w:tcPr>
            <w:tcW w:w="2520" w:type="dxa"/>
            <w:shd w:val="clear" w:color="auto" w:fill="F3F6FA"/>
            <w:vAlign w:val="center"/>
          </w:tcPr>
          <w:p w14:paraId="0106FD0B" w14:textId="77777777" w:rsidR="00632D2B" w:rsidRDefault="00000000">
            <w:r>
              <w:rPr>
                <w:sz w:val="18"/>
              </w:rPr>
              <w:t>Transformable entity names are hard-coded inside PolicyTransformer.</w:t>
            </w:r>
          </w:p>
        </w:tc>
        <w:tc>
          <w:tcPr>
            <w:tcW w:w="2520" w:type="dxa"/>
            <w:shd w:val="clear" w:color="auto" w:fill="F3F6FA"/>
            <w:vAlign w:val="center"/>
          </w:tcPr>
          <w:p>
            <w:r>
              <w:t>Policy applicability is governed by MedNexus-owned taxonomy/intelligence components.</w:t>
            </w:r>
          </w:p>
        </w:tc>
        <w:tc>
          <w:tcPr>
            <w:tcW w:w="2520" w:type="dxa"/>
            <w:shd w:val="clear" w:color="auto" w:fill="F3F6FA"/>
            <w:vAlign w:val="center"/>
          </w:tcPr>
          <w:p>
            <w:r>
              <w:t>Preserve centralized policy ownership.</w:t>
            </w:r>
          </w:p>
        </w:tc>
      </w:tr>
      <w:tr w:rsidR="00632D2B" w14:paraId="7FA04A83" w14:textId="77777777">
        <w:trPr>
          <w:jc w:val="center"/>
        </w:trPr>
        <w:tc>
          <w:tcPr>
            <w:tcW w:w="2520" w:type="dxa"/>
            <w:vAlign w:val="center"/>
          </w:tcPr>
          <w:p w14:paraId="48FB3670" w14:textId="77777777" w:rsidR="00632D2B" w:rsidRDefault="00000000">
            <w:r>
              <w:rPr>
                <w:sz w:val="18"/>
              </w:rPr>
              <w:lastRenderedPageBreak/>
              <w:t>High</w:t>
            </w:r>
          </w:p>
        </w:tc>
        <w:tc>
          <w:tcPr>
            <w:tcW w:w="2520" w:type="dxa"/>
            <w:vAlign w:val="center"/>
          </w:tcPr>
          <w:p w14:paraId="68644804" w14:textId="77777777" w:rsidR="00632D2B" w:rsidRDefault="00000000">
            <w:r>
              <w:rPr>
                <w:sz w:val="18"/>
              </w:rPr>
              <w:t>Report labels are encoded directly as regular expressions.</w:t>
            </w:r>
          </w:p>
        </w:tc>
        <w:tc>
          <w:tcPr>
            <w:tcW w:w="2520" w:type="dxa"/>
            <w:vAlign w:val="center"/>
          </w:tcPr>
          <w:p w14:paraId="6A2BBFC8" w14:textId="77777777" w:rsidR="00632D2B" w:rsidRDefault="00000000">
            <w:r>
              <w:rPr>
                <w:sz w:val="18"/>
              </w:rPr>
              <w:t>Scaling to thousands of templates becomes patch-by-patch.</w:t>
            </w:r>
          </w:p>
        </w:tc>
        <w:tc>
          <w:tcPr>
            <w:tcW w:w="2520" w:type="dxa"/>
            <w:vAlign w:val="center"/>
          </w:tcPr>
          <w:p w14:paraId="2B693EF0" w14:textId="77777777" w:rsidR="00632D2B" w:rsidRDefault="00000000">
            <w:r>
              <w:rPr>
                <w:sz w:val="18"/>
              </w:rPr>
              <w:t>Use canonical label registry plus layout/field parser; reserve regex for deterministic patterns.</w:t>
            </w:r>
          </w:p>
        </w:tc>
      </w:tr>
      <w:tr w:rsidR="00632D2B" w14:paraId="7B0E554F" w14:textId="77777777">
        <w:trPr>
          <w:jc w:val="center"/>
        </w:trPr>
        <w:tc>
          <w:tcPr>
            <w:tcW w:w="2520" w:type="dxa"/>
            <w:shd w:val="clear" w:color="auto" w:fill="F3F6FA"/>
            <w:vAlign w:val="center"/>
          </w:tcPr>
          <w:p w14:paraId="43576ED0" w14:textId="77777777" w:rsidR="00632D2B" w:rsidRDefault="00000000">
            <w:r>
              <w:rPr>
                <w:sz w:val="18"/>
              </w:rPr>
              <w:t>High</w:t>
            </w:r>
          </w:p>
        </w:tc>
        <w:tc>
          <w:tcPr>
            <w:tcW w:w="2520" w:type="dxa"/>
            <w:shd w:val="clear" w:color="auto" w:fill="F3F6FA"/>
            <w:vAlign w:val="center"/>
          </w:tcPr>
          <w:p w14:paraId="0C42F8B5" w14:textId="77777777" w:rsidR="00632D2B" w:rsidRDefault="00000000">
            <w:r>
              <w:rPr>
                <w:sz w:val="18"/>
              </w:rPr>
              <w:t>Clinical term and role protection lists are manual exception collections.</w:t>
            </w:r>
          </w:p>
        </w:tc>
        <w:tc>
          <w:tcPr>
            <w:tcW w:w="2520" w:type="dxa"/>
            <w:shd w:val="clear" w:color="auto" w:fill="F3F6FA"/>
            <w:vAlign w:val="center"/>
          </w:tcPr>
          <w:p w14:paraId="004BF4C0" w14:textId="77777777" w:rsidR="00632D2B" w:rsidRDefault="00000000">
            <w:r>
              <w:rPr>
                <w:sz w:val="18"/>
              </w:rPr>
              <w:t>False-positive fixes can grow without limit.</w:t>
            </w:r>
          </w:p>
        </w:tc>
        <w:tc>
          <w:tcPr>
            <w:tcW w:w="2520" w:type="dxa"/>
            <w:shd w:val="clear" w:color="auto" w:fill="F3F6FA"/>
            <w:vAlign w:val="center"/>
          </w:tcPr>
          <w:p w14:paraId="7CF917AD" w14:textId="77777777" w:rsidR="00632D2B" w:rsidRDefault="00000000">
            <w:r>
              <w:rPr>
                <w:sz w:val="18"/>
              </w:rPr>
              <w:t>Replace with documented validation rules, model evaluation, and targeted lexical resources with ownership.</w:t>
            </w:r>
          </w:p>
        </w:tc>
      </w:tr>
      <w:tr w:rsidR="00632D2B" w14:paraId="053CB86D" w14:textId="77777777">
        <w:trPr>
          <w:jc w:val="center"/>
        </w:trPr>
        <w:tc>
          <w:tcPr>
            <w:tcW w:w="2520" w:type="dxa"/>
            <w:vAlign w:val="center"/>
          </w:tcPr>
          <w:p>
            <w:r>
              <w:t>Resolved</w:t>
            </w:r>
          </w:p>
        </w:tc>
        <w:tc>
          <w:tcPr>
            <w:tcW w:w="2520" w:type="dxa"/>
            <w:vAlign w:val="center"/>
          </w:tcPr>
          <w:p w14:paraId="42C6D5F9" w14:textId="77777777" w:rsidR="00632D2B" w:rsidRDefault="00000000">
            <w:r>
              <w:rPr>
                <w:sz w:val="18"/>
              </w:rPr>
              <w:t>No merger exists for rule, label, layout, and AI detections.</w:t>
            </w:r>
          </w:p>
        </w:tc>
        <w:tc>
          <w:tcPr>
            <w:tcW w:w="2520" w:type="dxa"/>
            <w:vAlign w:val="center"/>
          </w:tcPr>
          <w:p>
            <w:r>
              <w:t>DetectionMerger is implemented and integrated.</w:t>
            </w:r>
          </w:p>
        </w:tc>
        <w:tc>
          <w:tcPr>
            <w:tcW w:w="2520" w:type="dxa"/>
            <w:vAlign w:val="center"/>
          </w:tcPr>
          <w:p>
            <w:r>
              <w:t>Extend merger rules only through deterministic, tested precedence/conflict logic.</w:t>
            </w:r>
          </w:p>
        </w:tc>
      </w:tr>
      <w:tr w:rsidR="00632D2B" w14:paraId="596766FF" w14:textId="77777777">
        <w:trPr>
          <w:jc w:val="center"/>
        </w:trPr>
        <w:tc>
          <w:tcPr>
            <w:tcW w:w="2520" w:type="dxa"/>
            <w:shd w:val="clear" w:color="auto" w:fill="F3F6FA"/>
            <w:vAlign w:val="center"/>
          </w:tcPr>
          <w:p w14:paraId="057BD277" w14:textId="77777777" w:rsidR="00632D2B" w:rsidRDefault="00000000">
            <w:r>
              <w:rPr>
                <w:sz w:val="18"/>
              </w:rPr>
              <w:t>Medium</w:t>
            </w:r>
          </w:p>
        </w:tc>
        <w:tc>
          <w:tcPr>
            <w:tcW w:w="2520" w:type="dxa"/>
            <w:shd w:val="clear" w:color="auto" w:fill="F3F6FA"/>
            <w:vAlign w:val="center"/>
          </w:tcPr>
          <w:p w14:paraId="7A45E0CA" w14:textId="77777777" w:rsidR="00632D2B" w:rsidRDefault="00000000">
            <w:r>
              <w:rPr>
                <w:sz w:val="18"/>
              </w:rPr>
              <w:t>EngineManager is hard-wired to OpenMed and reports a hard-coded version.</w:t>
            </w:r>
          </w:p>
        </w:tc>
        <w:tc>
          <w:tcPr>
            <w:tcW w:w="2520" w:type="dxa"/>
            <w:shd w:val="clear" w:color="auto" w:fill="F3F6FA"/>
            <w:vAlign w:val="center"/>
          </w:tcPr>
          <w:p w14:paraId="65CDA31C" w14:textId="77777777" w:rsidR="00632D2B" w:rsidRDefault="00000000">
            <w:r>
              <w:rPr>
                <w:sz w:val="18"/>
              </w:rPr>
              <w:t>Engine-agnostic design is not yet implemented.</w:t>
            </w:r>
          </w:p>
        </w:tc>
        <w:tc>
          <w:tcPr>
            <w:tcW w:w="2520" w:type="dxa"/>
            <w:shd w:val="clear" w:color="auto" w:fill="F3F6FA"/>
            <w:vAlign w:val="center"/>
          </w:tcPr>
          <w:p w14:paraId="1CF76196" w14:textId="77777777" w:rsidR="00632D2B" w:rsidRDefault="00000000">
            <w:r>
              <w:rPr>
                <w:sz w:val="18"/>
              </w:rPr>
              <w:t>Define engine protocol/interface and runtime metadata.</w:t>
            </w:r>
          </w:p>
        </w:tc>
      </w:tr>
      <w:tr w:rsidR="00632D2B" w14:paraId="440C42B5" w14:textId="77777777">
        <w:trPr>
          <w:jc w:val="center"/>
        </w:trPr>
        <w:tc>
          <w:tcPr>
            <w:tcW w:w="2520" w:type="dxa"/>
            <w:vAlign w:val="center"/>
          </w:tcPr>
          <w:p>
            <w:r>
              <w:t>Resolved for de-identification ownership</w:t>
            </w:r>
          </w:p>
        </w:tc>
        <w:tc>
          <w:tcPr>
            <w:tcW w:w="2520" w:type="dxa"/>
            <w:vAlign w:val="center"/>
          </w:tcPr>
          <w:p w14:paraId="3474B563" w14:textId="77777777" w:rsidR="00632D2B" w:rsidRDefault="00000000">
            <w:r>
              <w:rPr>
                <w:sz w:val="18"/>
              </w:rPr>
              <w:t>The API directly serializes OpenMed-specific result attributes.</w:t>
            </w:r>
          </w:p>
        </w:tc>
        <w:tc>
          <w:tcPr>
            <w:tcW w:w="2520" w:type="dxa"/>
            <w:vAlign w:val="center"/>
          </w:tcPr>
          <w:p>
            <w:r>
              <w:t>Final de-identified output is constructed by MedNexusOutputBuilder rather than trusting OpenMed output.</w:t>
            </w:r>
          </w:p>
        </w:tc>
        <w:tc>
          <w:tcPr>
            <w:tcW w:w="2520" w:type="dxa"/>
            <w:vAlign w:val="center"/>
          </w:tcPr>
          <w:p>
            <w:r>
              <w:t>Continue moving public contracts toward fully engine-independent MedNexus schemas.</w:t>
            </w:r>
          </w:p>
        </w:tc>
      </w:tr>
      <w:tr w:rsidR="00632D2B" w14:paraId="77A38269" w14:textId="77777777">
        <w:trPr>
          <w:jc w:val="center"/>
        </w:trPr>
        <w:tc>
          <w:tcPr>
            <w:tcW w:w="2520" w:type="dxa"/>
            <w:shd w:val="clear" w:color="auto" w:fill="F3F6FA"/>
            <w:vAlign w:val="center"/>
          </w:tcPr>
          <w:p>
            <w:r>
              <w:t>Resolved for current intelligence path</w:t>
            </w:r>
          </w:p>
        </w:tc>
        <w:tc>
          <w:tcPr>
            <w:tcW w:w="2520" w:type="dxa"/>
            <w:shd w:val="clear" w:color="auto" w:fill="F3F6FA"/>
            <w:vAlign w:val="center"/>
          </w:tcPr>
          <w:p w14:paraId="1FBF627B" w14:textId="77777777" w:rsidR="00632D2B" w:rsidRDefault="00000000">
            <w:r>
              <w:rPr>
                <w:sz w:val="18"/>
              </w:rPr>
              <w:t>Pipeline orchestration is embedded in one service method.</w:t>
            </w:r>
          </w:p>
        </w:tc>
        <w:tc>
          <w:tcPr>
            <w:tcW w:w="2520" w:type="dxa"/>
            <w:shd w:val="clear" w:color="auto" w:fill="F3F6FA"/>
            <w:vAlign w:val="center"/>
          </w:tcPr>
          <w:p>
            <w:r>
              <w:t>MedNexusIntelligenceOrchestrator now owns the intelligence sequence.</w:t>
            </w:r>
          </w:p>
        </w:tc>
        <w:tc>
          <w:tcPr>
            <w:tcW w:w="2520" w:type="dxa"/>
            <w:shd w:val="clear" w:color="auto" w:fill="F3F6FA"/>
            <w:vAlign w:val="center"/>
          </w:tcPr>
          <w:p>
            <w:r>
              <w:t>Extend future stages through explicit pipeline components rather than service-method coupling.</w:t>
            </w:r>
          </w:p>
        </w:tc>
      </w:tr>
      <w:tr w:rsidR="00632D2B" w14:paraId="68CBB3F5" w14:textId="77777777">
        <w:trPr>
          <w:jc w:val="center"/>
        </w:trPr>
        <w:tc>
          <w:tcPr>
            <w:tcW w:w="2520" w:type="dxa"/>
            <w:vAlign w:val="center"/>
          </w:tcPr>
          <w:p w14:paraId="56CEDEAB" w14:textId="77777777" w:rsidR="00632D2B" w:rsidRDefault="00000000">
            <w:r>
              <w:rPr>
                <w:sz w:val="18"/>
              </w:rPr>
              <w:t>Medium</w:t>
            </w:r>
          </w:p>
        </w:tc>
        <w:tc>
          <w:tcPr>
            <w:tcW w:w="2520" w:type="dxa"/>
            <w:vAlign w:val="center"/>
          </w:tcPr>
          <w:p w14:paraId="59412EF2" w14:textId="77777777" w:rsidR="00632D2B" w:rsidRDefault="00000000">
            <w:r>
              <w:rPr>
                <w:sz w:val="18"/>
              </w:rPr>
              <w:t>Error handling, logging, metrics, task management, and settings files are mostly empty.</w:t>
            </w:r>
          </w:p>
        </w:tc>
        <w:tc>
          <w:tcPr>
            <w:tcW w:w="2520" w:type="dxa"/>
            <w:vAlign w:val="center"/>
          </w:tcPr>
          <w:p w14:paraId="34B2D82D" w14:textId="77777777" w:rsidR="00632D2B" w:rsidRDefault="00000000">
            <w:r>
              <w:rPr>
                <w:sz w:val="18"/>
              </w:rPr>
              <w:t>Operational readiness is limited.</w:t>
            </w:r>
          </w:p>
        </w:tc>
        <w:tc>
          <w:tcPr>
            <w:tcW w:w="2520" w:type="dxa"/>
            <w:vAlign w:val="center"/>
          </w:tcPr>
          <w:p w14:paraId="4C1BFD28" w14:textId="77777777" w:rsidR="00632D2B" w:rsidRDefault="00000000">
            <w:r>
              <w:rPr>
                <w:sz w:val="18"/>
              </w:rPr>
              <w:t>Implement only when required by the roadmap, using the existing placeholders.</w:t>
            </w:r>
          </w:p>
        </w:tc>
      </w:tr>
      <w:tr w:rsidR="00632D2B" w14:paraId="7210F5B3" w14:textId="77777777">
        <w:trPr>
          <w:jc w:val="center"/>
        </w:trPr>
        <w:tc>
          <w:tcPr>
            <w:tcW w:w="2520" w:type="dxa"/>
            <w:shd w:val="clear" w:color="auto" w:fill="F3F6FA"/>
            <w:vAlign w:val="center"/>
          </w:tcPr>
          <w:p w14:paraId="69C3A255" w14:textId="77777777" w:rsidR="00632D2B" w:rsidRDefault="00000000">
            <w:r>
              <w:rPr>
                <w:sz w:val="18"/>
              </w:rPr>
              <w:t>Low</w:t>
            </w:r>
          </w:p>
        </w:tc>
        <w:tc>
          <w:tcPr>
            <w:tcW w:w="2520" w:type="dxa"/>
            <w:shd w:val="clear" w:color="auto" w:fill="F3F6FA"/>
            <w:vAlign w:val="center"/>
          </w:tcPr>
          <w:p w14:paraId="1137790A" w14:textId="77777777" w:rsidR="00632D2B" w:rsidRDefault="00000000">
            <w:r>
              <w:rPr>
                <w:sz w:val="18"/>
              </w:rPr>
              <w:t>Duplicate FastAPI import and several empty scaffolding files.</w:t>
            </w:r>
          </w:p>
        </w:tc>
        <w:tc>
          <w:tcPr>
            <w:tcW w:w="2520" w:type="dxa"/>
            <w:shd w:val="clear" w:color="auto" w:fill="F3F6FA"/>
            <w:vAlign w:val="center"/>
          </w:tcPr>
          <w:p w14:paraId="182B262A" w14:textId="77777777" w:rsidR="00632D2B" w:rsidRDefault="00000000">
            <w:r>
              <w:rPr>
                <w:sz w:val="18"/>
              </w:rPr>
              <w:t>Minor maintainability issue.</w:t>
            </w:r>
          </w:p>
        </w:tc>
        <w:tc>
          <w:tcPr>
            <w:tcW w:w="2520" w:type="dxa"/>
            <w:shd w:val="clear" w:color="auto" w:fill="F3F6FA"/>
            <w:vAlign w:val="center"/>
          </w:tcPr>
          <w:p w14:paraId="4A63CF35" w14:textId="77777777" w:rsidR="00632D2B" w:rsidRDefault="00000000">
            <w:r>
              <w:rPr>
                <w:sz w:val="18"/>
              </w:rPr>
              <w:t>Clean during controlled refactoring.</w:t>
            </w:r>
          </w:p>
        </w:tc>
      </w:tr>
    </w:tbl>
    <w:p w14:paraId="0FAEBEE1" w14:textId="77777777" w:rsidR="00632D2B" w:rsidRDefault="00632D2B"/>
    <w:p w14:paraId="3DDD721D" w14:textId="77777777" w:rsidR="00632D2B" w:rsidRDefault="00000000">
      <w:pPr>
        <w:pStyle w:val="Heading1"/>
      </w:pPr>
      <w:r>
        <w:t>8. Target MedNexus Architecture</w:t>
      </w:r>
    </w:p>
    <w:p w14:paraId="736F9B19" w14:textId="77777777" w:rsidR="00632D2B" w:rsidRDefault="00000000">
      <w:r>
        <w:t>The fixed target architecture is layered. Not every layer must be implemented immediately, but new code must fit this model.</w:t>
      </w:r>
    </w:p>
    <w:tbl>
      <w:tblPr>
        <w:tblStyle w:val="TableGrid"/>
        <w:tblW w:w="0" w:type="auto"/>
        <w:jc w:val="center"/>
        <w:tblLook w:val="04A0" w:firstRow="1" w:lastRow="0" w:firstColumn="1" w:lastColumn="0" w:noHBand="0" w:noVBand="1"/>
      </w:tblPr>
      <w:tblGrid>
        <w:gridCol w:w="5040"/>
        <w:gridCol w:w="5040"/>
      </w:tblGrid>
      <w:tr w:rsidR="00632D2B" w14:paraId="7497D5E5" w14:textId="77777777">
        <w:trPr>
          <w:jc w:val="center"/>
        </w:trPr>
        <w:tc>
          <w:tcPr>
            <w:tcW w:w="5040" w:type="dxa"/>
            <w:shd w:val="clear" w:color="auto" w:fill="173768"/>
            <w:vAlign w:val="center"/>
          </w:tcPr>
          <w:p w14:paraId="1B9E02BF" w14:textId="77777777" w:rsidR="00632D2B" w:rsidRDefault="00000000">
            <w:r>
              <w:rPr>
                <w:b/>
                <w:color w:val="FFFFFF"/>
                <w:sz w:val="18"/>
              </w:rPr>
              <w:t>Layer</w:t>
            </w:r>
          </w:p>
        </w:tc>
        <w:tc>
          <w:tcPr>
            <w:tcW w:w="5040" w:type="dxa"/>
            <w:shd w:val="clear" w:color="auto" w:fill="173768"/>
            <w:vAlign w:val="center"/>
          </w:tcPr>
          <w:p w14:paraId="17DC2C2F" w14:textId="77777777" w:rsidR="00632D2B" w:rsidRDefault="00000000">
            <w:r>
              <w:rPr>
                <w:b/>
                <w:color w:val="FFFFFF"/>
                <w:sz w:val="18"/>
              </w:rPr>
              <w:t>Responsibilities</w:t>
            </w:r>
          </w:p>
        </w:tc>
      </w:tr>
      <w:tr w:rsidR="00632D2B" w14:paraId="38EA424F" w14:textId="77777777">
        <w:trPr>
          <w:jc w:val="center"/>
        </w:trPr>
        <w:tc>
          <w:tcPr>
            <w:tcW w:w="5040" w:type="dxa"/>
            <w:vAlign w:val="center"/>
          </w:tcPr>
          <w:p w14:paraId="7FF5B5B0" w14:textId="77777777" w:rsidR="00632D2B" w:rsidRDefault="00000000">
            <w:r>
              <w:rPr>
                <w:sz w:val="18"/>
              </w:rPr>
              <w:t>Presentation and API</w:t>
            </w:r>
          </w:p>
        </w:tc>
        <w:tc>
          <w:tcPr>
            <w:tcW w:w="5040" w:type="dxa"/>
            <w:vAlign w:val="center"/>
          </w:tcPr>
          <w:p w14:paraId="104818C0" w14:textId="77777777" w:rsidR="00632D2B" w:rsidRDefault="00000000">
            <w:r>
              <w:rPr>
                <w:sz w:val="18"/>
              </w:rPr>
              <w:t>Web UI, future mobile/desktop clients, REST/FHIR endpoints, request validation, authentication, and stable MedNexus response contracts.</w:t>
            </w:r>
          </w:p>
        </w:tc>
      </w:tr>
      <w:tr w:rsidR="00632D2B" w14:paraId="23FAEFF7" w14:textId="77777777">
        <w:trPr>
          <w:jc w:val="center"/>
        </w:trPr>
        <w:tc>
          <w:tcPr>
            <w:tcW w:w="5040" w:type="dxa"/>
            <w:shd w:val="clear" w:color="auto" w:fill="F3F6FA"/>
            <w:vAlign w:val="center"/>
          </w:tcPr>
          <w:p w14:paraId="0DFEB242" w14:textId="77777777" w:rsidR="00632D2B" w:rsidRDefault="00000000">
            <w:r>
              <w:rPr>
                <w:sz w:val="18"/>
              </w:rPr>
              <w:t>Document Ingestion</w:t>
            </w:r>
          </w:p>
        </w:tc>
        <w:tc>
          <w:tcPr>
            <w:tcW w:w="5040" w:type="dxa"/>
            <w:shd w:val="clear" w:color="auto" w:fill="F3F6FA"/>
            <w:vAlign w:val="center"/>
          </w:tcPr>
          <w:p w14:paraId="7F09547B" w14:textId="77777777" w:rsidR="00632D2B" w:rsidRDefault="00000000">
            <w:r>
              <w:rPr>
                <w:sz w:val="18"/>
              </w:rPr>
              <w:t>Upload, source connectors, format validation, malware checks, file metadata, text extraction, OCR routing, and provenance.</w:t>
            </w:r>
          </w:p>
        </w:tc>
      </w:tr>
      <w:tr w:rsidR="00632D2B" w14:paraId="6C4E1A46" w14:textId="77777777">
        <w:trPr>
          <w:jc w:val="center"/>
        </w:trPr>
        <w:tc>
          <w:tcPr>
            <w:tcW w:w="5040" w:type="dxa"/>
            <w:vAlign w:val="center"/>
          </w:tcPr>
          <w:p w14:paraId="6CD4A52E" w14:textId="77777777" w:rsidR="00632D2B" w:rsidRDefault="00000000">
            <w:r>
              <w:rPr>
                <w:sz w:val="18"/>
              </w:rPr>
              <w:t>Document Understanding</w:t>
            </w:r>
          </w:p>
        </w:tc>
        <w:tc>
          <w:tcPr>
            <w:tcW w:w="5040" w:type="dxa"/>
            <w:vAlign w:val="center"/>
          </w:tcPr>
          <w:p w14:paraId="34D1B65F" w14:textId="77777777" w:rsidR="00632D2B" w:rsidRDefault="00000000">
            <w:r>
              <w:rPr>
                <w:sz w:val="18"/>
              </w:rPr>
              <w:t>Document classification, section detection, layout analysis, table extraction, field/value parsing, language detection, and document metadata.</w:t>
            </w:r>
          </w:p>
        </w:tc>
      </w:tr>
      <w:tr w:rsidR="00632D2B" w14:paraId="6F114A89" w14:textId="77777777">
        <w:trPr>
          <w:jc w:val="center"/>
        </w:trPr>
        <w:tc>
          <w:tcPr>
            <w:tcW w:w="5040" w:type="dxa"/>
            <w:shd w:val="clear" w:color="auto" w:fill="F3F6FA"/>
            <w:vAlign w:val="center"/>
          </w:tcPr>
          <w:p w14:paraId="0B52DF60" w14:textId="77777777" w:rsidR="00632D2B" w:rsidRDefault="00000000">
            <w:r>
              <w:rPr>
                <w:sz w:val="18"/>
              </w:rPr>
              <w:t>Identity Detection</w:t>
            </w:r>
          </w:p>
        </w:tc>
        <w:tc>
          <w:tcPr>
            <w:tcW w:w="5040" w:type="dxa"/>
            <w:shd w:val="clear" w:color="auto" w:fill="F3F6FA"/>
            <w:vAlign w:val="center"/>
          </w:tcPr>
          <w:p w14:paraId="055027BE" w14:textId="77777777" w:rsidR="00632D2B" w:rsidRDefault="00000000">
            <w:r>
              <w:rPr>
                <w:sz w:val="18"/>
              </w:rPr>
              <w:t>Structured-field detector, canonical-label detector, deterministic-pattern detector, AI PII detector, and contextual validators.</w:t>
            </w:r>
          </w:p>
        </w:tc>
      </w:tr>
      <w:tr w:rsidR="00632D2B" w14:paraId="71D09DE4" w14:textId="77777777">
        <w:trPr>
          <w:jc w:val="center"/>
        </w:trPr>
        <w:tc>
          <w:tcPr>
            <w:tcW w:w="5040" w:type="dxa"/>
            <w:vAlign w:val="center"/>
          </w:tcPr>
          <w:p w14:paraId="0565518D" w14:textId="77777777" w:rsidR="00632D2B" w:rsidRDefault="00000000">
            <w:r>
              <w:rPr>
                <w:sz w:val="18"/>
              </w:rPr>
              <w:t>Detection Orchestration</w:t>
            </w:r>
          </w:p>
        </w:tc>
        <w:tc>
          <w:tcPr>
            <w:tcW w:w="5040" w:type="dxa"/>
            <w:vAlign w:val="center"/>
          </w:tcPr>
          <w:p w14:paraId="1AF6315E" w14:textId="77777777" w:rsidR="00632D2B" w:rsidRDefault="00000000">
            <w:r>
              <w:rPr>
                <w:sz w:val="18"/>
              </w:rPr>
              <w:t>Run detectors, standardize outputs, merge overlaps, resolve conflicts, calculate confidence, and create an audit trail.</w:t>
            </w:r>
          </w:p>
        </w:tc>
      </w:tr>
      <w:tr w:rsidR="00632D2B" w14:paraId="6ABA7056" w14:textId="77777777">
        <w:trPr>
          <w:jc w:val="center"/>
        </w:trPr>
        <w:tc>
          <w:tcPr>
            <w:tcW w:w="5040" w:type="dxa"/>
            <w:shd w:val="clear" w:color="auto" w:fill="F3F6FA"/>
            <w:vAlign w:val="center"/>
          </w:tcPr>
          <w:p w14:paraId="6B461D40" w14:textId="77777777" w:rsidR="00632D2B" w:rsidRDefault="00000000">
            <w:r>
              <w:rPr>
                <w:sz w:val="18"/>
              </w:rPr>
              <w:t>Privacy Policy</w:t>
            </w:r>
          </w:p>
        </w:tc>
        <w:tc>
          <w:tcPr>
            <w:tcW w:w="5040" w:type="dxa"/>
            <w:shd w:val="clear" w:color="auto" w:fill="F3F6FA"/>
            <w:vAlign w:val="center"/>
          </w:tcPr>
          <w:p w14:paraId="7BDD0FF7" w14:textId="77777777" w:rsidR="00632D2B" w:rsidRDefault="00000000">
            <w:r>
              <w:rPr>
                <w:sz w:val="18"/>
              </w:rPr>
              <w:t>Apply policy actions by entity, identity category, purpose, tenant, jurisdiction, and user role.</w:t>
            </w:r>
          </w:p>
        </w:tc>
      </w:tr>
      <w:tr w:rsidR="00632D2B" w14:paraId="1FC41E51" w14:textId="77777777">
        <w:trPr>
          <w:jc w:val="center"/>
        </w:trPr>
        <w:tc>
          <w:tcPr>
            <w:tcW w:w="5040" w:type="dxa"/>
            <w:vAlign w:val="center"/>
          </w:tcPr>
          <w:p w14:paraId="0D748BF4" w14:textId="77777777" w:rsidR="00632D2B" w:rsidRDefault="00000000">
            <w:r>
              <w:rPr>
                <w:sz w:val="18"/>
              </w:rPr>
              <w:t>Clinical NLP</w:t>
            </w:r>
          </w:p>
        </w:tc>
        <w:tc>
          <w:tcPr>
            <w:tcW w:w="5040" w:type="dxa"/>
            <w:vAlign w:val="center"/>
          </w:tcPr>
          <w:p w14:paraId="4B29DB05" w14:textId="77777777" w:rsidR="00632D2B" w:rsidRDefault="00000000">
            <w:r>
              <w:rPr>
                <w:sz w:val="18"/>
              </w:rPr>
              <w:t>Clinical entities, negation, temporality, experiencer, relationships, measurements, and document-specific extraction.</w:t>
            </w:r>
          </w:p>
        </w:tc>
      </w:tr>
      <w:tr w:rsidR="00632D2B" w14:paraId="501A0AE6" w14:textId="77777777">
        <w:trPr>
          <w:jc w:val="center"/>
        </w:trPr>
        <w:tc>
          <w:tcPr>
            <w:tcW w:w="5040" w:type="dxa"/>
            <w:shd w:val="clear" w:color="auto" w:fill="F3F6FA"/>
            <w:vAlign w:val="center"/>
          </w:tcPr>
          <w:p w14:paraId="41CBD88D" w14:textId="77777777" w:rsidR="00632D2B" w:rsidRDefault="00000000">
            <w:r>
              <w:rPr>
                <w:sz w:val="18"/>
              </w:rPr>
              <w:t>Terminology Services</w:t>
            </w:r>
          </w:p>
        </w:tc>
        <w:tc>
          <w:tcPr>
            <w:tcW w:w="5040" w:type="dxa"/>
            <w:shd w:val="clear" w:color="auto" w:fill="F3F6FA"/>
            <w:vAlign w:val="center"/>
          </w:tcPr>
          <w:p w14:paraId="443F6BDE" w14:textId="77777777" w:rsidR="00632D2B" w:rsidRDefault="00000000">
            <w:r>
              <w:rPr>
                <w:sz w:val="18"/>
              </w:rPr>
              <w:t>Concept mapping, code systems, synonym resolution, units, laterality, severity, and versioned terminology resources.</w:t>
            </w:r>
          </w:p>
        </w:tc>
      </w:tr>
      <w:tr w:rsidR="00632D2B" w14:paraId="4D1BEB56" w14:textId="77777777">
        <w:trPr>
          <w:jc w:val="center"/>
        </w:trPr>
        <w:tc>
          <w:tcPr>
            <w:tcW w:w="5040" w:type="dxa"/>
            <w:vAlign w:val="center"/>
          </w:tcPr>
          <w:p w14:paraId="1220FEF0" w14:textId="77777777" w:rsidR="00632D2B" w:rsidRDefault="00000000">
            <w:r>
              <w:rPr>
                <w:sz w:val="18"/>
              </w:rPr>
              <w:t>Structured Data</w:t>
            </w:r>
          </w:p>
        </w:tc>
        <w:tc>
          <w:tcPr>
            <w:tcW w:w="5040" w:type="dxa"/>
            <w:vAlign w:val="center"/>
          </w:tcPr>
          <w:p w14:paraId="16E0E773" w14:textId="77777777" w:rsidR="00632D2B" w:rsidRDefault="00000000">
            <w:r>
              <w:rPr>
                <w:sz w:val="18"/>
              </w:rPr>
              <w:t xml:space="preserve">Canonical document model, entities, relations, confidence, </w:t>
            </w:r>
            <w:r>
              <w:rPr>
                <w:sz w:val="18"/>
              </w:rPr>
              <w:lastRenderedPageBreak/>
              <w:t>source spans, provenance, and FHIR-compatible representations.</w:t>
            </w:r>
          </w:p>
        </w:tc>
      </w:tr>
      <w:tr w:rsidR="00632D2B" w14:paraId="79C5B519" w14:textId="77777777">
        <w:trPr>
          <w:jc w:val="center"/>
        </w:trPr>
        <w:tc>
          <w:tcPr>
            <w:tcW w:w="5040" w:type="dxa"/>
            <w:shd w:val="clear" w:color="auto" w:fill="F3F6FA"/>
            <w:vAlign w:val="center"/>
          </w:tcPr>
          <w:p w14:paraId="432023CD" w14:textId="77777777" w:rsidR="00632D2B" w:rsidRDefault="00000000">
            <w:r>
              <w:rPr>
                <w:sz w:val="18"/>
              </w:rPr>
              <w:lastRenderedPageBreak/>
              <w:t>Analytics and Search</w:t>
            </w:r>
          </w:p>
        </w:tc>
        <w:tc>
          <w:tcPr>
            <w:tcW w:w="5040" w:type="dxa"/>
            <w:shd w:val="clear" w:color="auto" w:fill="F3F6FA"/>
            <w:vAlign w:val="center"/>
          </w:tcPr>
          <w:p w14:paraId="430A35FB" w14:textId="77777777" w:rsidR="00632D2B" w:rsidRDefault="00000000">
            <w:r>
              <w:rPr>
                <w:sz w:val="18"/>
              </w:rPr>
              <w:t>Cohorts, metrics, dashboards, trends, quality indicators, research datasets, semantic search, and public-health outputs.</w:t>
            </w:r>
          </w:p>
        </w:tc>
      </w:tr>
      <w:tr w:rsidR="00632D2B" w14:paraId="23232BAF" w14:textId="77777777">
        <w:trPr>
          <w:jc w:val="center"/>
        </w:trPr>
        <w:tc>
          <w:tcPr>
            <w:tcW w:w="5040" w:type="dxa"/>
            <w:vAlign w:val="center"/>
          </w:tcPr>
          <w:p w14:paraId="30C174E6" w14:textId="77777777" w:rsidR="00632D2B" w:rsidRDefault="00000000">
            <w:r>
              <w:rPr>
                <w:sz w:val="18"/>
              </w:rPr>
              <w:t>Engine and Model Platform</w:t>
            </w:r>
          </w:p>
        </w:tc>
        <w:tc>
          <w:tcPr>
            <w:tcW w:w="5040" w:type="dxa"/>
            <w:vAlign w:val="center"/>
          </w:tcPr>
          <w:p w14:paraId="08AE55ED" w14:textId="77777777" w:rsidR="00632D2B" w:rsidRDefault="00000000">
            <w:r>
              <w:rPr>
                <w:sz w:val="18"/>
              </w:rPr>
              <w:t>Adapters, model registry, selection, benchmarking, fallback, hardware requirements, licenses, and model lifecycle.</w:t>
            </w:r>
          </w:p>
        </w:tc>
      </w:tr>
      <w:tr w:rsidR="00632D2B" w14:paraId="5F3C722D" w14:textId="77777777">
        <w:trPr>
          <w:jc w:val="center"/>
        </w:trPr>
        <w:tc>
          <w:tcPr>
            <w:tcW w:w="5040" w:type="dxa"/>
            <w:shd w:val="clear" w:color="auto" w:fill="F3F6FA"/>
            <w:vAlign w:val="center"/>
          </w:tcPr>
          <w:p w14:paraId="174F9019" w14:textId="77777777" w:rsidR="00632D2B" w:rsidRDefault="00000000">
            <w:r>
              <w:rPr>
                <w:sz w:val="18"/>
              </w:rPr>
              <w:t>Enterprise Operations</w:t>
            </w:r>
          </w:p>
        </w:tc>
        <w:tc>
          <w:tcPr>
            <w:tcW w:w="5040" w:type="dxa"/>
            <w:shd w:val="clear" w:color="auto" w:fill="F3F6FA"/>
            <w:vAlign w:val="center"/>
          </w:tcPr>
          <w:p w14:paraId="6257D969" w14:textId="77777777" w:rsidR="00632D2B" w:rsidRDefault="00000000">
            <w:r>
              <w:rPr>
                <w:sz w:val="18"/>
              </w:rPr>
              <w:t>Security, audit, observability, configuration, multi-tenancy, deployment, backup, disaster recovery, and integrations.</w:t>
            </w:r>
          </w:p>
        </w:tc>
      </w:tr>
    </w:tbl>
    <w:p w14:paraId="2CF50ACE" w14:textId="77777777" w:rsidR="00632D2B" w:rsidRDefault="00632D2B">
      <w:pPr>
        <w:rPr>
          <w:rtl/>
        </w:rPr>
      </w:pPr>
    </w:p>
    <w:p w14:paraId="113AB20B" w14:textId="31BE7460" w:rsidR="00B9043D" w:rsidRDefault="00B9043D" w:rsidP="00B9043D">
      <w:pPr>
        <w:pStyle w:val="Heading2"/>
      </w:pPr>
      <w:r w:rsidRPr="00B9043D">
        <w:t>8.1 MedNexus API Response Contract v1.0</w:t>
      </w:r>
    </w:p>
    <w:p w14:paraId="3BB782DF" w14:textId="3228606D" w:rsidR="00B9043D" w:rsidRDefault="00B9043D" w:rsidP="00B9043D">
      <w:r>
        <w:t>All MedNexus processing endpoints must return a stable, engine-independent</w:t>
      </w:r>
      <w:r>
        <w:t xml:space="preserve"> </w:t>
      </w:r>
      <w:r>
        <w:t>response structure.</w:t>
      </w:r>
    </w:p>
    <w:p w14:paraId="4DEAB669" w14:textId="365738F9" w:rsidR="00B9043D" w:rsidRDefault="00B9043D" w:rsidP="00B9043D">
      <w:r>
        <w:t>The public API contract must not expose engine-specific response objects</w:t>
      </w:r>
      <w:r>
        <w:t xml:space="preserve"> </w:t>
      </w:r>
      <w:r>
        <w:t>directly. External engines remain implementation details behind MedNexu</w:t>
      </w:r>
      <w:r>
        <w:t xml:space="preserve">s </w:t>
      </w:r>
      <w:r>
        <w:t>services and adapters.</w:t>
      </w:r>
    </w:p>
    <w:p w14:paraId="6EBEE764" w14:textId="4B316E11" w:rsidR="00B9043D" w:rsidRDefault="00B9043D" w:rsidP="00B9043D">
      <w:r>
        <w:t>Required top-level fields:</w:t>
      </w:r>
    </w:p>
    <w:p w14:paraId="2CBFCB5C" w14:textId="77777777" w:rsidR="00B9043D" w:rsidRDefault="00B9043D" w:rsidP="00B9043D">
      <w:r>
        <w:t>• success</w:t>
      </w:r>
    </w:p>
    <w:p w14:paraId="54E94EC7" w14:textId="77777777" w:rsidR="00B9043D" w:rsidRDefault="00B9043D" w:rsidP="00B9043D">
      <w:r>
        <w:t>• message</w:t>
      </w:r>
    </w:p>
    <w:p w14:paraId="158017A4" w14:textId="77777777" w:rsidR="00B9043D" w:rsidRDefault="00B9043D" w:rsidP="00B9043D">
      <w:r>
        <w:t>• error</w:t>
      </w:r>
    </w:p>
    <w:p w14:paraId="6E179EE8" w14:textId="77777777" w:rsidR="00B9043D" w:rsidRDefault="00B9043D" w:rsidP="00B9043D">
      <w:r>
        <w:t>• module</w:t>
      </w:r>
    </w:p>
    <w:p w14:paraId="1B380A31" w14:textId="77777777" w:rsidR="00B9043D" w:rsidRDefault="00B9043D" w:rsidP="00B9043D">
      <w:r>
        <w:t>• task</w:t>
      </w:r>
    </w:p>
    <w:p w14:paraId="4FEBC075" w14:textId="77777777" w:rsidR="00B9043D" w:rsidRDefault="00B9043D" w:rsidP="00B9043D">
      <w:r>
        <w:t>• engine</w:t>
      </w:r>
    </w:p>
    <w:p w14:paraId="22432D5C" w14:textId="77777777" w:rsidR="00B9043D" w:rsidRDefault="00B9043D" w:rsidP="00B9043D">
      <w:r>
        <w:t>• processing_time</w:t>
      </w:r>
    </w:p>
    <w:p w14:paraId="062FE8A2" w14:textId="77777777" w:rsidR="00B9043D" w:rsidRDefault="00B9043D" w:rsidP="00B9043D">
      <w:r>
        <w:t>• warnings</w:t>
      </w:r>
    </w:p>
    <w:p w14:paraId="76FC49E4" w14:textId="77777777" w:rsidR="00B9043D" w:rsidRDefault="00B9043D" w:rsidP="00B9043D">
      <w:r>
        <w:t>• metadata</w:t>
      </w:r>
    </w:p>
    <w:p w14:paraId="47ABB520" w14:textId="77777777" w:rsidR="00B9043D" w:rsidRDefault="00B9043D" w:rsidP="00B9043D">
      <w:r>
        <w:t>• context_entities</w:t>
      </w:r>
    </w:p>
    <w:p w14:paraId="2546AB98" w14:textId="42585233" w:rsidR="00B9043D" w:rsidRDefault="00B9043D" w:rsidP="00B9043D">
      <w:r>
        <w:t>• result</w:t>
      </w:r>
    </w:p>
    <w:p w14:paraId="4257C286" w14:textId="51564811" w:rsidR="00B9043D" w:rsidRDefault="00B9043D" w:rsidP="00B9043D">
      <w:r>
        <w:t>The result object contains the task-specific output.</w:t>
      </w:r>
    </w:p>
    <w:p w14:paraId="78AF066F" w14:textId="76179056" w:rsidR="00B9043D" w:rsidRDefault="00B9043D" w:rsidP="00B9043D">
      <w:r>
        <w:t>For de-identification operations, result contains:</w:t>
      </w:r>
    </w:p>
    <w:p w14:paraId="6D96C4FC" w14:textId="77777777" w:rsidR="00B9043D" w:rsidRDefault="00B9043D" w:rsidP="00B9043D">
      <w:r>
        <w:t>• original_text</w:t>
      </w:r>
    </w:p>
    <w:p w14:paraId="4C0FF0B5" w14:textId="77777777" w:rsidR="00B9043D" w:rsidRDefault="00B9043D" w:rsidP="00B9043D">
      <w:r>
        <w:t>• deidentified_text</w:t>
      </w:r>
    </w:p>
    <w:p w14:paraId="1A921EA8" w14:textId="77777777" w:rsidR="00B9043D" w:rsidRDefault="00B9043D" w:rsidP="00B9043D">
      <w:r>
        <w:t>• entities</w:t>
      </w:r>
    </w:p>
    <w:p w14:paraId="72AED0C5" w14:textId="77777777" w:rsidR="00B9043D" w:rsidRDefault="00B9043D" w:rsidP="00B9043D">
      <w:r>
        <w:t>• mapping</w:t>
      </w:r>
    </w:p>
    <w:p w14:paraId="378C092E" w14:textId="77777777" w:rsidR="00B9043D" w:rsidRDefault="00B9043D" w:rsidP="00B9043D"/>
    <w:p w14:paraId="4E7C5846" w14:textId="2F22B7D6" w:rsidR="00B9043D" w:rsidRDefault="00B9043D" w:rsidP="00B9043D">
      <w:r>
        <w:lastRenderedPageBreak/>
        <w:t>The metadata object contains operational, policy, source-document,</w:t>
      </w:r>
      <w:r>
        <w:t xml:space="preserve"> </w:t>
      </w:r>
      <w:r>
        <w:t>extraction, and provenance information.</w:t>
      </w:r>
    </w:p>
    <w:p w14:paraId="7E73B778" w14:textId="61F365C1" w:rsidR="00B9043D" w:rsidRDefault="00B9043D" w:rsidP="00B9043D">
      <w:r>
        <w:t>The engine object contains:</w:t>
      </w:r>
    </w:p>
    <w:p w14:paraId="38526171" w14:textId="77777777" w:rsidR="00B9043D" w:rsidRDefault="00B9043D" w:rsidP="00B9043D">
      <w:r>
        <w:t>• name</w:t>
      </w:r>
    </w:p>
    <w:p w14:paraId="4A1E4BF3" w14:textId="51939539" w:rsidR="00B9043D" w:rsidRDefault="00B9043D" w:rsidP="00B9043D">
      <w:r>
        <w:t>• version</w:t>
      </w:r>
    </w:p>
    <w:p w14:paraId="07547795" w14:textId="77777777" w:rsidR="00B9043D" w:rsidRDefault="00B9043D" w:rsidP="00B9043D">
      <w:r>
        <w:t>All future Text, File, Batch, FHIR, HL7, and document-processing APIs</w:t>
      </w:r>
    </w:p>
    <w:p w14:paraId="4E7C3B7C" w14:textId="77777777" w:rsidR="00B9043D" w:rsidRDefault="00B9043D" w:rsidP="00B9043D">
      <w:r>
        <w:t>must conform to this contract unless a formally versioned successor</w:t>
      </w:r>
    </w:p>
    <w:p w14:paraId="7F14FBF5" w14:textId="25D08C11" w:rsidR="00B9043D" w:rsidRDefault="00B9043D" w:rsidP="00B9043D">
      <w:r>
        <w:t>contract is approved.</w:t>
      </w:r>
    </w:p>
    <w:p w14:paraId="6312DD5D" w14:textId="77777777" w:rsidR="00B9043D" w:rsidRDefault="00B9043D" w:rsidP="00B9043D">
      <w:r>
        <w:t>API contract changes must be backward-compatible or released under a</w:t>
      </w:r>
    </w:p>
    <w:p w14:paraId="0EBBAEF6" w14:textId="65C32042" w:rsidR="00B9043D" w:rsidRPr="00B9043D" w:rsidRDefault="00B9043D" w:rsidP="00B9043D">
      <w:r>
        <w:t>new versioned endpoint.</w:t>
      </w:r>
    </w:p>
    <w:p w14:paraId="4FAC4E3C" w14:textId="77777777" w:rsidR="00632D2B" w:rsidRDefault="00000000">
      <w:pPr>
        <w:pStyle w:val="Heading1"/>
      </w:pPr>
      <w:r>
        <w:t>9. Medical Document Intelligence Processing Pipeline</w:t>
      </w:r>
    </w:p>
    <w:tbl>
      <w:tblPr>
        <w:tblStyle w:val="TableGrid"/>
        <w:tblW w:w="0" w:type="auto"/>
        <w:jc w:val="center"/>
        <w:tblLook w:val="04A0" w:firstRow="1" w:lastRow="0" w:firstColumn="1" w:lastColumn="0" w:noHBand="0" w:noVBand="1"/>
      </w:tblPr>
      <w:tblGrid>
        <w:gridCol w:w="3360"/>
        <w:gridCol w:w="3360"/>
        <w:gridCol w:w="3360"/>
      </w:tblGrid>
      <w:tr w:rsidR="00632D2B" w14:paraId="1C5A49AF" w14:textId="77777777">
        <w:trPr>
          <w:jc w:val="center"/>
        </w:trPr>
        <w:tc>
          <w:tcPr>
            <w:tcW w:w="3360" w:type="dxa"/>
            <w:shd w:val="clear" w:color="auto" w:fill="173768"/>
            <w:vAlign w:val="center"/>
          </w:tcPr>
          <w:p w14:paraId="204245FD" w14:textId="77777777" w:rsidR="00632D2B" w:rsidRDefault="00000000">
            <w:r>
              <w:rPr>
                <w:b/>
                <w:color w:val="FFFFFF"/>
                <w:sz w:val="18"/>
              </w:rPr>
              <w:t>Step</w:t>
            </w:r>
          </w:p>
        </w:tc>
        <w:tc>
          <w:tcPr>
            <w:tcW w:w="3360" w:type="dxa"/>
            <w:shd w:val="clear" w:color="auto" w:fill="173768"/>
            <w:vAlign w:val="center"/>
          </w:tcPr>
          <w:p w14:paraId="2983CDDC" w14:textId="77777777" w:rsidR="00632D2B" w:rsidRDefault="00000000">
            <w:r>
              <w:rPr>
                <w:b/>
                <w:color w:val="FFFFFF"/>
                <w:sz w:val="18"/>
              </w:rPr>
              <w:t>Stage</w:t>
            </w:r>
          </w:p>
        </w:tc>
        <w:tc>
          <w:tcPr>
            <w:tcW w:w="3360" w:type="dxa"/>
            <w:shd w:val="clear" w:color="auto" w:fill="173768"/>
            <w:vAlign w:val="center"/>
          </w:tcPr>
          <w:p w14:paraId="407D2752" w14:textId="77777777" w:rsidR="00632D2B" w:rsidRDefault="00000000">
            <w:r>
              <w:rPr>
                <w:b/>
                <w:color w:val="FFFFFF"/>
                <w:sz w:val="18"/>
              </w:rPr>
              <w:t>Output</w:t>
            </w:r>
          </w:p>
        </w:tc>
      </w:tr>
      <w:tr w:rsidR="00632D2B" w14:paraId="22D9C0CA" w14:textId="77777777">
        <w:trPr>
          <w:jc w:val="center"/>
        </w:trPr>
        <w:tc>
          <w:tcPr>
            <w:tcW w:w="3360" w:type="dxa"/>
            <w:vAlign w:val="center"/>
          </w:tcPr>
          <w:p w14:paraId="4EC990B2" w14:textId="77777777" w:rsidR="00632D2B" w:rsidRDefault="00000000">
            <w:r>
              <w:rPr>
                <w:sz w:val="18"/>
              </w:rPr>
              <w:t>1</w:t>
            </w:r>
          </w:p>
        </w:tc>
        <w:tc>
          <w:tcPr>
            <w:tcW w:w="3360" w:type="dxa"/>
            <w:vAlign w:val="center"/>
          </w:tcPr>
          <w:p w14:paraId="25C0D981" w14:textId="77777777" w:rsidR="00632D2B" w:rsidRDefault="00000000">
            <w:r>
              <w:rPr>
                <w:sz w:val="18"/>
              </w:rPr>
              <w:t>Receive</w:t>
            </w:r>
          </w:p>
        </w:tc>
        <w:tc>
          <w:tcPr>
            <w:tcW w:w="3360" w:type="dxa"/>
            <w:vAlign w:val="center"/>
          </w:tcPr>
          <w:p w14:paraId="7264DF5C" w14:textId="77777777" w:rsidR="00632D2B" w:rsidRDefault="00000000">
            <w:r>
              <w:rPr>
                <w:sz w:val="18"/>
              </w:rPr>
              <w:t>Accept document or text and record source metadata.</w:t>
            </w:r>
          </w:p>
        </w:tc>
      </w:tr>
      <w:tr w:rsidR="00632D2B" w14:paraId="0580213A" w14:textId="77777777">
        <w:trPr>
          <w:jc w:val="center"/>
        </w:trPr>
        <w:tc>
          <w:tcPr>
            <w:tcW w:w="3360" w:type="dxa"/>
            <w:shd w:val="clear" w:color="auto" w:fill="F3F6FA"/>
            <w:vAlign w:val="center"/>
          </w:tcPr>
          <w:p w14:paraId="16C5BC4F" w14:textId="77777777" w:rsidR="00632D2B" w:rsidRDefault="00000000">
            <w:r>
              <w:rPr>
                <w:sz w:val="18"/>
              </w:rPr>
              <w:t>2</w:t>
            </w:r>
          </w:p>
        </w:tc>
        <w:tc>
          <w:tcPr>
            <w:tcW w:w="3360" w:type="dxa"/>
            <w:shd w:val="clear" w:color="auto" w:fill="F3F6FA"/>
            <w:vAlign w:val="center"/>
          </w:tcPr>
          <w:p w14:paraId="3AD5DBA5" w14:textId="77777777" w:rsidR="00632D2B" w:rsidRDefault="00000000">
            <w:r>
              <w:rPr>
                <w:sz w:val="18"/>
              </w:rPr>
              <w:t>Parse</w:t>
            </w:r>
          </w:p>
        </w:tc>
        <w:tc>
          <w:tcPr>
            <w:tcW w:w="3360" w:type="dxa"/>
            <w:shd w:val="clear" w:color="auto" w:fill="F3F6FA"/>
            <w:vAlign w:val="center"/>
          </w:tcPr>
          <w:p w14:paraId="39582494" w14:textId="77777777" w:rsidR="00632D2B" w:rsidRDefault="00000000">
            <w:r>
              <w:rPr>
                <w:sz w:val="18"/>
              </w:rPr>
              <w:t>Extract text, layout, tables, pages, and file metadata.</w:t>
            </w:r>
          </w:p>
        </w:tc>
      </w:tr>
      <w:tr w:rsidR="00632D2B" w14:paraId="63054DEA" w14:textId="77777777">
        <w:trPr>
          <w:jc w:val="center"/>
        </w:trPr>
        <w:tc>
          <w:tcPr>
            <w:tcW w:w="3360" w:type="dxa"/>
            <w:vAlign w:val="center"/>
          </w:tcPr>
          <w:p w14:paraId="1F877149" w14:textId="77777777" w:rsidR="00632D2B" w:rsidRDefault="00000000">
            <w:r>
              <w:rPr>
                <w:sz w:val="18"/>
              </w:rPr>
              <w:t>3</w:t>
            </w:r>
          </w:p>
        </w:tc>
        <w:tc>
          <w:tcPr>
            <w:tcW w:w="3360" w:type="dxa"/>
            <w:vAlign w:val="center"/>
          </w:tcPr>
          <w:p w14:paraId="2A11AE60" w14:textId="77777777" w:rsidR="00632D2B" w:rsidRDefault="00000000">
            <w:r>
              <w:rPr>
                <w:sz w:val="18"/>
              </w:rPr>
              <w:t>Classify</w:t>
            </w:r>
          </w:p>
        </w:tc>
        <w:tc>
          <w:tcPr>
            <w:tcW w:w="3360" w:type="dxa"/>
            <w:vAlign w:val="center"/>
          </w:tcPr>
          <w:p w14:paraId="035B5CD7" w14:textId="77777777" w:rsidR="00632D2B" w:rsidRDefault="00000000">
            <w:r>
              <w:rPr>
                <w:sz w:val="18"/>
              </w:rPr>
              <w:t>Determine document domain and document type.</w:t>
            </w:r>
          </w:p>
        </w:tc>
      </w:tr>
      <w:tr w:rsidR="00632D2B" w14:paraId="7C013BBD" w14:textId="77777777">
        <w:trPr>
          <w:jc w:val="center"/>
        </w:trPr>
        <w:tc>
          <w:tcPr>
            <w:tcW w:w="3360" w:type="dxa"/>
            <w:shd w:val="clear" w:color="auto" w:fill="F3F6FA"/>
            <w:vAlign w:val="center"/>
          </w:tcPr>
          <w:p w14:paraId="5D8AF17B" w14:textId="77777777" w:rsidR="00632D2B" w:rsidRDefault="00000000">
            <w:r>
              <w:rPr>
                <w:sz w:val="18"/>
              </w:rPr>
              <w:t>4</w:t>
            </w:r>
          </w:p>
        </w:tc>
        <w:tc>
          <w:tcPr>
            <w:tcW w:w="3360" w:type="dxa"/>
            <w:shd w:val="clear" w:color="auto" w:fill="F3F6FA"/>
            <w:vAlign w:val="center"/>
          </w:tcPr>
          <w:p w14:paraId="365EF5F8" w14:textId="77777777" w:rsidR="00632D2B" w:rsidRDefault="00000000">
            <w:r>
              <w:rPr>
                <w:sz w:val="18"/>
              </w:rPr>
              <w:t>Structure</w:t>
            </w:r>
          </w:p>
        </w:tc>
        <w:tc>
          <w:tcPr>
            <w:tcW w:w="3360" w:type="dxa"/>
            <w:shd w:val="clear" w:color="auto" w:fill="F3F6FA"/>
            <w:vAlign w:val="center"/>
          </w:tcPr>
          <w:p w14:paraId="740EEF5A" w14:textId="77777777" w:rsidR="00632D2B" w:rsidRDefault="00000000">
            <w:r>
              <w:rPr>
                <w:sz w:val="18"/>
              </w:rPr>
              <w:t>Identify sections, headings, fields, and value regions.</w:t>
            </w:r>
          </w:p>
        </w:tc>
      </w:tr>
      <w:tr w:rsidR="00632D2B" w14:paraId="6228CF81" w14:textId="77777777">
        <w:trPr>
          <w:jc w:val="center"/>
        </w:trPr>
        <w:tc>
          <w:tcPr>
            <w:tcW w:w="3360" w:type="dxa"/>
            <w:vAlign w:val="center"/>
          </w:tcPr>
          <w:p w14:paraId="565DBF2A" w14:textId="77777777" w:rsidR="00632D2B" w:rsidRDefault="00000000">
            <w:r>
              <w:rPr>
                <w:sz w:val="18"/>
              </w:rPr>
              <w:t>5</w:t>
            </w:r>
          </w:p>
        </w:tc>
        <w:tc>
          <w:tcPr>
            <w:tcW w:w="3360" w:type="dxa"/>
            <w:vAlign w:val="center"/>
          </w:tcPr>
          <w:p w14:paraId="657B91B0" w14:textId="77777777" w:rsidR="00632D2B" w:rsidRDefault="00000000">
            <w:r>
              <w:rPr>
                <w:sz w:val="18"/>
              </w:rPr>
              <w:t>Detect Identity</w:t>
            </w:r>
          </w:p>
        </w:tc>
        <w:tc>
          <w:tcPr>
            <w:tcW w:w="3360" w:type="dxa"/>
            <w:vAlign w:val="center"/>
          </w:tcPr>
          <w:p w14:paraId="5090E833" w14:textId="77777777" w:rsidR="00632D2B" w:rsidRDefault="00000000">
            <w:r>
              <w:rPr>
                <w:sz w:val="18"/>
              </w:rPr>
              <w:t>Run deterministic, structural, lexical, and AI detectors.</w:t>
            </w:r>
          </w:p>
        </w:tc>
      </w:tr>
      <w:tr w:rsidR="00632D2B" w14:paraId="1ED4B676" w14:textId="77777777">
        <w:trPr>
          <w:jc w:val="center"/>
        </w:trPr>
        <w:tc>
          <w:tcPr>
            <w:tcW w:w="3360" w:type="dxa"/>
            <w:shd w:val="clear" w:color="auto" w:fill="F3F6FA"/>
            <w:vAlign w:val="center"/>
          </w:tcPr>
          <w:p w14:paraId="52AD860B" w14:textId="77777777" w:rsidR="00632D2B" w:rsidRDefault="00000000">
            <w:r>
              <w:rPr>
                <w:sz w:val="18"/>
              </w:rPr>
              <w:t>6</w:t>
            </w:r>
          </w:p>
        </w:tc>
        <w:tc>
          <w:tcPr>
            <w:tcW w:w="3360" w:type="dxa"/>
            <w:shd w:val="clear" w:color="auto" w:fill="F3F6FA"/>
            <w:vAlign w:val="center"/>
          </w:tcPr>
          <w:p w14:paraId="65FC2956" w14:textId="77777777" w:rsidR="00632D2B" w:rsidRDefault="00000000">
            <w:r>
              <w:rPr>
                <w:sz w:val="18"/>
              </w:rPr>
              <w:t>Merge and Validate</w:t>
            </w:r>
          </w:p>
        </w:tc>
        <w:tc>
          <w:tcPr>
            <w:tcW w:w="3360" w:type="dxa"/>
            <w:shd w:val="clear" w:color="auto" w:fill="F3F6FA"/>
            <w:vAlign w:val="center"/>
          </w:tcPr>
          <w:p w14:paraId="15CAC42D" w14:textId="77777777" w:rsidR="00632D2B" w:rsidRDefault="00000000">
            <w:r>
              <w:rPr>
                <w:sz w:val="18"/>
              </w:rPr>
              <w:t>Resolve overlaps, confidence, entity category, and role.</w:t>
            </w:r>
          </w:p>
        </w:tc>
      </w:tr>
      <w:tr w:rsidR="00632D2B" w14:paraId="060258E2" w14:textId="77777777">
        <w:trPr>
          <w:jc w:val="center"/>
        </w:trPr>
        <w:tc>
          <w:tcPr>
            <w:tcW w:w="3360" w:type="dxa"/>
            <w:vAlign w:val="center"/>
          </w:tcPr>
          <w:p w14:paraId="6168849D" w14:textId="77777777" w:rsidR="00632D2B" w:rsidRDefault="00000000">
            <w:r>
              <w:rPr>
                <w:sz w:val="18"/>
              </w:rPr>
              <w:t>7</w:t>
            </w:r>
          </w:p>
        </w:tc>
        <w:tc>
          <w:tcPr>
            <w:tcW w:w="3360" w:type="dxa"/>
            <w:vAlign w:val="center"/>
          </w:tcPr>
          <w:p w14:paraId="01B45A46" w14:textId="77777777" w:rsidR="00632D2B" w:rsidRDefault="00000000">
            <w:r>
              <w:rPr>
                <w:sz w:val="18"/>
              </w:rPr>
              <w:t>Apply Privacy Policy</w:t>
            </w:r>
          </w:p>
        </w:tc>
        <w:tc>
          <w:tcPr>
            <w:tcW w:w="3360" w:type="dxa"/>
            <w:vAlign w:val="center"/>
          </w:tcPr>
          <w:p>
            <w:r>
              <w:t>Apply implemented actions: keep, replace, hash, mask, or remove. Advanced transformations remain planned.</w:t>
            </w:r>
          </w:p>
        </w:tc>
      </w:tr>
      <w:tr w:rsidR="00632D2B" w14:paraId="061F8B92" w14:textId="77777777">
        <w:trPr>
          <w:jc w:val="center"/>
        </w:trPr>
        <w:tc>
          <w:tcPr>
            <w:tcW w:w="3360" w:type="dxa"/>
            <w:shd w:val="clear" w:color="auto" w:fill="F3F6FA"/>
            <w:vAlign w:val="center"/>
          </w:tcPr>
          <w:p w14:paraId="23188994" w14:textId="77777777" w:rsidR="00632D2B" w:rsidRDefault="00000000">
            <w:r>
              <w:rPr>
                <w:sz w:val="18"/>
              </w:rPr>
              <w:t>8</w:t>
            </w:r>
          </w:p>
        </w:tc>
        <w:tc>
          <w:tcPr>
            <w:tcW w:w="3360" w:type="dxa"/>
            <w:shd w:val="clear" w:color="auto" w:fill="F3F6FA"/>
            <w:vAlign w:val="center"/>
          </w:tcPr>
          <w:p w14:paraId="7F62C46F" w14:textId="77777777" w:rsidR="00632D2B" w:rsidRDefault="00000000">
            <w:r>
              <w:rPr>
                <w:sz w:val="18"/>
              </w:rPr>
              <w:t>Extract Clinical Information</w:t>
            </w:r>
          </w:p>
        </w:tc>
        <w:tc>
          <w:tcPr>
            <w:tcW w:w="3360" w:type="dxa"/>
            <w:shd w:val="clear" w:color="auto" w:fill="F3F6FA"/>
            <w:vAlign w:val="center"/>
          </w:tcPr>
          <w:p w14:paraId="0B16D615" w14:textId="77777777" w:rsidR="00632D2B" w:rsidRDefault="00000000">
            <w:r>
              <w:rPr>
                <w:sz w:val="18"/>
              </w:rPr>
              <w:t>Identify diagnoses, findings, procedures, medications, tests, values, and relationships.</w:t>
            </w:r>
          </w:p>
        </w:tc>
      </w:tr>
      <w:tr w:rsidR="00632D2B" w14:paraId="520910EB" w14:textId="77777777">
        <w:trPr>
          <w:jc w:val="center"/>
        </w:trPr>
        <w:tc>
          <w:tcPr>
            <w:tcW w:w="3360" w:type="dxa"/>
            <w:vAlign w:val="center"/>
          </w:tcPr>
          <w:p w14:paraId="033A0C67" w14:textId="77777777" w:rsidR="00632D2B" w:rsidRDefault="00000000">
            <w:r>
              <w:rPr>
                <w:sz w:val="18"/>
              </w:rPr>
              <w:t>9</w:t>
            </w:r>
          </w:p>
        </w:tc>
        <w:tc>
          <w:tcPr>
            <w:tcW w:w="3360" w:type="dxa"/>
            <w:vAlign w:val="center"/>
          </w:tcPr>
          <w:p w14:paraId="64FA6CE9" w14:textId="77777777" w:rsidR="00632D2B" w:rsidRDefault="00000000">
            <w:r>
              <w:rPr>
                <w:sz w:val="18"/>
              </w:rPr>
              <w:t>Normalize</w:t>
            </w:r>
          </w:p>
        </w:tc>
        <w:tc>
          <w:tcPr>
            <w:tcW w:w="3360" w:type="dxa"/>
            <w:vAlign w:val="center"/>
          </w:tcPr>
          <w:p w14:paraId="763107E7" w14:textId="77777777" w:rsidR="00632D2B" w:rsidRDefault="00000000">
            <w:r>
              <w:rPr>
                <w:sz w:val="18"/>
              </w:rPr>
              <w:t>Map to terminology codes and normalized units.</w:t>
            </w:r>
          </w:p>
        </w:tc>
      </w:tr>
      <w:tr w:rsidR="00632D2B" w14:paraId="07CA9DD3" w14:textId="77777777">
        <w:trPr>
          <w:jc w:val="center"/>
        </w:trPr>
        <w:tc>
          <w:tcPr>
            <w:tcW w:w="3360" w:type="dxa"/>
            <w:shd w:val="clear" w:color="auto" w:fill="F3F6FA"/>
            <w:vAlign w:val="center"/>
          </w:tcPr>
          <w:p w14:paraId="40DAE5B5" w14:textId="77777777" w:rsidR="00632D2B" w:rsidRDefault="00000000">
            <w:r>
              <w:rPr>
                <w:sz w:val="18"/>
              </w:rPr>
              <w:t>10</w:t>
            </w:r>
          </w:p>
        </w:tc>
        <w:tc>
          <w:tcPr>
            <w:tcW w:w="3360" w:type="dxa"/>
            <w:shd w:val="clear" w:color="auto" w:fill="F3F6FA"/>
            <w:vAlign w:val="center"/>
          </w:tcPr>
          <w:p w14:paraId="28AB1E88" w14:textId="77777777" w:rsidR="00632D2B" w:rsidRDefault="00000000">
            <w:r>
              <w:rPr>
                <w:sz w:val="18"/>
              </w:rPr>
              <w:t>Persist</w:t>
            </w:r>
          </w:p>
        </w:tc>
        <w:tc>
          <w:tcPr>
            <w:tcW w:w="3360" w:type="dxa"/>
            <w:shd w:val="clear" w:color="auto" w:fill="F3F6FA"/>
            <w:vAlign w:val="center"/>
          </w:tcPr>
          <w:p w14:paraId="47BF0FB6" w14:textId="77777777" w:rsidR="00632D2B" w:rsidRDefault="00000000">
            <w:r>
              <w:rPr>
                <w:sz w:val="18"/>
              </w:rPr>
              <w:t>Store protected document, structured results, provenance, and audit events.</w:t>
            </w:r>
          </w:p>
        </w:tc>
      </w:tr>
      <w:tr w:rsidR="00632D2B" w14:paraId="1010EF3A" w14:textId="77777777">
        <w:trPr>
          <w:jc w:val="center"/>
        </w:trPr>
        <w:tc>
          <w:tcPr>
            <w:tcW w:w="3360" w:type="dxa"/>
            <w:vAlign w:val="center"/>
          </w:tcPr>
          <w:p w14:paraId="03155FED" w14:textId="77777777" w:rsidR="00632D2B" w:rsidRDefault="00000000">
            <w:r>
              <w:rPr>
                <w:sz w:val="18"/>
              </w:rPr>
              <w:t>11</w:t>
            </w:r>
          </w:p>
        </w:tc>
        <w:tc>
          <w:tcPr>
            <w:tcW w:w="3360" w:type="dxa"/>
            <w:vAlign w:val="center"/>
          </w:tcPr>
          <w:p w14:paraId="660DCA62" w14:textId="77777777" w:rsidR="00632D2B" w:rsidRDefault="00000000">
            <w:r>
              <w:rPr>
                <w:sz w:val="18"/>
              </w:rPr>
              <w:t>Analyze</w:t>
            </w:r>
          </w:p>
        </w:tc>
        <w:tc>
          <w:tcPr>
            <w:tcW w:w="3360" w:type="dxa"/>
            <w:vAlign w:val="center"/>
          </w:tcPr>
          <w:p w14:paraId="3A19EFCA" w14:textId="77777777" w:rsidR="00632D2B" w:rsidRDefault="00000000">
            <w:r>
              <w:rPr>
                <w:sz w:val="18"/>
              </w:rPr>
              <w:t>Generate statistics, indicators, search indexes, and reports.</w:t>
            </w:r>
          </w:p>
        </w:tc>
      </w:tr>
    </w:tbl>
    <w:p w14:paraId="74B64B8D" w14:textId="77777777" w:rsidR="00632D2B" w:rsidRDefault="00632D2B"/>
    <w:p w14:paraId="107D4501" w14:textId="77777777" w:rsidR="00632D2B" w:rsidRDefault="00000000">
      <w:pPr>
        <w:pStyle w:val="Heading1"/>
      </w:pPr>
      <w:r>
        <w:t>10. De-identification Detection Architecture</w:t>
      </w:r>
    </w:p>
    <w:p w14:paraId="30CCF6AE" w14:textId="77777777" w:rsidR="00632D2B" w:rsidRDefault="00000000">
      <w:pPr>
        <w:pStyle w:val="Heading2"/>
      </w:pPr>
      <w:r>
        <w:t>10.1 Hybrid Detection Is the Fixed Strategy</w:t>
      </w:r>
    </w:p>
    <w:p w14:paraId="42203758" w14:textId="77777777" w:rsidR="00632D2B" w:rsidRDefault="00000000">
      <w:r>
        <w:t>No single AI model, dictionary, regex collection, or layout parser will cover all medical documents. The production strategy is a hybrid ensemble in which each detector has a defined role.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3B263FA6" w14:textId="77777777">
        <w:trPr>
          <w:jc w:val="center"/>
        </w:trPr>
        <w:tc>
          <w:tcPr>
            <w:tcW w:w="2520" w:type="dxa"/>
            <w:shd w:val="clear" w:color="auto" w:fill="173768"/>
            <w:vAlign w:val="center"/>
          </w:tcPr>
          <w:p w14:paraId="68F80568" w14:textId="77777777" w:rsidR="00632D2B" w:rsidRDefault="00000000">
            <w:r>
              <w:rPr>
                <w:b/>
                <w:color w:val="FFFFFF"/>
                <w:sz w:val="18"/>
              </w:rPr>
              <w:t>Detector</w:t>
            </w:r>
          </w:p>
        </w:tc>
        <w:tc>
          <w:tcPr>
            <w:tcW w:w="2520" w:type="dxa"/>
            <w:shd w:val="clear" w:color="auto" w:fill="173768"/>
            <w:vAlign w:val="center"/>
          </w:tcPr>
          <w:p w14:paraId="0DF449D7" w14:textId="77777777" w:rsidR="00632D2B" w:rsidRDefault="00000000">
            <w:r>
              <w:rPr>
                <w:b/>
                <w:color w:val="FFFFFF"/>
                <w:sz w:val="18"/>
              </w:rPr>
              <w:t>Primary Use</w:t>
            </w:r>
          </w:p>
        </w:tc>
        <w:tc>
          <w:tcPr>
            <w:tcW w:w="2520" w:type="dxa"/>
            <w:shd w:val="clear" w:color="auto" w:fill="173768"/>
            <w:vAlign w:val="center"/>
          </w:tcPr>
          <w:p w14:paraId="6FC17586" w14:textId="77777777" w:rsidR="00632D2B" w:rsidRDefault="00000000">
            <w:r>
              <w:rPr>
                <w:b/>
                <w:color w:val="FFFFFF"/>
                <w:sz w:val="18"/>
              </w:rPr>
              <w:t>Examples</w:t>
            </w:r>
          </w:p>
        </w:tc>
        <w:tc>
          <w:tcPr>
            <w:tcW w:w="2520" w:type="dxa"/>
            <w:shd w:val="clear" w:color="auto" w:fill="173768"/>
            <w:vAlign w:val="center"/>
          </w:tcPr>
          <w:p w14:paraId="6BC68D43" w14:textId="77777777" w:rsidR="00632D2B" w:rsidRDefault="00000000">
            <w:r>
              <w:rPr>
                <w:b/>
                <w:color w:val="FFFFFF"/>
                <w:sz w:val="18"/>
              </w:rPr>
              <w:t>Not Responsible For</w:t>
            </w:r>
          </w:p>
        </w:tc>
      </w:tr>
      <w:tr w:rsidR="00632D2B" w14:paraId="3EB7D0EC" w14:textId="77777777">
        <w:trPr>
          <w:jc w:val="center"/>
        </w:trPr>
        <w:tc>
          <w:tcPr>
            <w:tcW w:w="2520" w:type="dxa"/>
            <w:vAlign w:val="center"/>
          </w:tcPr>
          <w:p w14:paraId="456483F8" w14:textId="77777777" w:rsidR="00632D2B" w:rsidRDefault="00000000">
            <w:r>
              <w:rPr>
                <w:sz w:val="18"/>
              </w:rPr>
              <w:lastRenderedPageBreak/>
              <w:t>Structured Field Detector</w:t>
            </w:r>
          </w:p>
        </w:tc>
        <w:tc>
          <w:tcPr>
            <w:tcW w:w="2520" w:type="dxa"/>
            <w:vAlign w:val="center"/>
          </w:tcPr>
          <w:p w14:paraId="3C279191" w14:textId="77777777" w:rsidR="00632D2B" w:rsidRDefault="00000000">
            <w:r>
              <w:rPr>
                <w:sz w:val="18"/>
              </w:rPr>
              <w:t>Extract values associated with identified fields and tables.</w:t>
            </w:r>
          </w:p>
        </w:tc>
        <w:tc>
          <w:tcPr>
            <w:tcW w:w="2520" w:type="dxa"/>
            <w:vAlign w:val="center"/>
          </w:tcPr>
          <w:p w14:paraId="550844A9" w14:textId="77777777" w:rsidR="00632D2B" w:rsidRDefault="00000000">
            <w:r>
              <w:rPr>
                <w:sz w:val="18"/>
              </w:rPr>
              <w:t>Patient Name: value; MRN column; accession field.</w:t>
            </w:r>
          </w:p>
        </w:tc>
        <w:tc>
          <w:tcPr>
            <w:tcW w:w="2520" w:type="dxa"/>
            <w:vAlign w:val="center"/>
          </w:tcPr>
          <w:p w14:paraId="393EF132" w14:textId="77777777" w:rsidR="00632D2B" w:rsidRDefault="00000000">
            <w:r>
              <w:rPr>
                <w:sz w:val="18"/>
              </w:rPr>
              <w:t>Guessing free-text names without structure.</w:t>
            </w:r>
          </w:p>
        </w:tc>
      </w:tr>
      <w:tr w:rsidR="00632D2B" w14:paraId="1667A802" w14:textId="77777777">
        <w:trPr>
          <w:jc w:val="center"/>
        </w:trPr>
        <w:tc>
          <w:tcPr>
            <w:tcW w:w="2520" w:type="dxa"/>
            <w:shd w:val="clear" w:color="auto" w:fill="F3F6FA"/>
            <w:vAlign w:val="center"/>
          </w:tcPr>
          <w:p w14:paraId="2CD6CBB2" w14:textId="77777777" w:rsidR="00632D2B" w:rsidRDefault="00000000">
            <w:r>
              <w:rPr>
                <w:sz w:val="18"/>
              </w:rPr>
              <w:t>Canonical Label Detector</w:t>
            </w:r>
          </w:p>
        </w:tc>
        <w:tc>
          <w:tcPr>
            <w:tcW w:w="2520" w:type="dxa"/>
            <w:shd w:val="clear" w:color="auto" w:fill="F3F6FA"/>
            <w:vAlign w:val="center"/>
          </w:tcPr>
          <w:p w14:paraId="47513CF6" w14:textId="77777777" w:rsidR="00632D2B" w:rsidRDefault="00000000">
            <w:r>
              <w:rPr>
                <w:sz w:val="18"/>
              </w:rPr>
              <w:t>Map label variants to canonical entities.</w:t>
            </w:r>
          </w:p>
        </w:tc>
        <w:tc>
          <w:tcPr>
            <w:tcW w:w="2520" w:type="dxa"/>
            <w:shd w:val="clear" w:color="auto" w:fill="F3F6FA"/>
            <w:vAlign w:val="center"/>
          </w:tcPr>
          <w:p w14:paraId="129C8648" w14:textId="77777777" w:rsidR="00632D2B" w:rsidRDefault="00000000">
            <w:r>
              <w:rPr>
                <w:sz w:val="18"/>
              </w:rPr>
              <w:t>Patient, PatientName, Pt Name → PATIENT_NAME.</w:t>
            </w:r>
          </w:p>
        </w:tc>
        <w:tc>
          <w:tcPr>
            <w:tcW w:w="2520" w:type="dxa"/>
            <w:shd w:val="clear" w:color="auto" w:fill="F3F6FA"/>
            <w:vAlign w:val="center"/>
          </w:tcPr>
          <w:p w14:paraId="19D834A0" w14:textId="77777777" w:rsidR="00632D2B" w:rsidRDefault="00000000">
            <w:r>
              <w:rPr>
                <w:sz w:val="18"/>
              </w:rPr>
              <w:t>Hard-coding every label in Python source.</w:t>
            </w:r>
          </w:p>
        </w:tc>
      </w:tr>
      <w:tr w:rsidR="00632D2B" w14:paraId="4A46FD9A" w14:textId="77777777">
        <w:trPr>
          <w:jc w:val="center"/>
        </w:trPr>
        <w:tc>
          <w:tcPr>
            <w:tcW w:w="2520" w:type="dxa"/>
            <w:vAlign w:val="center"/>
          </w:tcPr>
          <w:p w14:paraId="21A50BF3" w14:textId="77777777" w:rsidR="00632D2B" w:rsidRDefault="00000000">
            <w:r>
              <w:rPr>
                <w:sz w:val="18"/>
              </w:rPr>
              <w:t>Deterministic Pattern Detector</w:t>
            </w:r>
          </w:p>
        </w:tc>
        <w:tc>
          <w:tcPr>
            <w:tcW w:w="2520" w:type="dxa"/>
            <w:vAlign w:val="center"/>
          </w:tcPr>
          <w:p w14:paraId="53C83E18" w14:textId="77777777" w:rsidR="00632D2B" w:rsidRDefault="00000000">
            <w:r>
              <w:rPr>
                <w:sz w:val="18"/>
              </w:rPr>
              <w:t>High-precision formats.</w:t>
            </w:r>
          </w:p>
        </w:tc>
        <w:tc>
          <w:tcPr>
            <w:tcW w:w="2520" w:type="dxa"/>
            <w:vAlign w:val="center"/>
          </w:tcPr>
          <w:p w14:paraId="4403103C" w14:textId="77777777" w:rsidR="00632D2B" w:rsidRDefault="00000000">
            <w:r>
              <w:rPr>
                <w:sz w:val="18"/>
              </w:rPr>
              <w:t>Email, phone, Civil ID patterns, known identifier formats.</w:t>
            </w:r>
          </w:p>
        </w:tc>
        <w:tc>
          <w:tcPr>
            <w:tcW w:w="2520" w:type="dxa"/>
            <w:vAlign w:val="center"/>
          </w:tcPr>
          <w:p w14:paraId="4492AEC1" w14:textId="77777777" w:rsidR="00632D2B" w:rsidRDefault="00000000">
            <w:r>
              <w:rPr>
                <w:sz w:val="18"/>
              </w:rPr>
              <w:t>General human-name recognition.</w:t>
            </w:r>
          </w:p>
        </w:tc>
      </w:tr>
      <w:tr w:rsidR="00632D2B" w14:paraId="2EBC25D7" w14:textId="77777777">
        <w:trPr>
          <w:jc w:val="center"/>
        </w:trPr>
        <w:tc>
          <w:tcPr>
            <w:tcW w:w="2520" w:type="dxa"/>
            <w:shd w:val="clear" w:color="auto" w:fill="F3F6FA"/>
            <w:vAlign w:val="center"/>
          </w:tcPr>
          <w:p w14:paraId="207BCE78" w14:textId="77777777" w:rsidR="00632D2B" w:rsidRDefault="00000000">
            <w:r>
              <w:rPr>
                <w:sz w:val="18"/>
              </w:rPr>
              <w:t>AI PII Detector</w:t>
            </w:r>
          </w:p>
        </w:tc>
        <w:tc>
          <w:tcPr>
            <w:tcW w:w="2520" w:type="dxa"/>
            <w:shd w:val="clear" w:color="auto" w:fill="F3F6FA"/>
            <w:vAlign w:val="center"/>
          </w:tcPr>
          <w:p w14:paraId="48AC9D0C" w14:textId="77777777" w:rsidR="00632D2B" w:rsidRDefault="00000000">
            <w:r>
              <w:rPr>
                <w:sz w:val="18"/>
              </w:rPr>
              <w:t>Semantic detection in unstructured narrative.</w:t>
            </w:r>
          </w:p>
        </w:tc>
        <w:tc>
          <w:tcPr>
            <w:tcW w:w="2520" w:type="dxa"/>
            <w:shd w:val="clear" w:color="auto" w:fill="F3F6FA"/>
            <w:vAlign w:val="center"/>
          </w:tcPr>
          <w:p w14:paraId="2111ABD4" w14:textId="77777777" w:rsidR="00632D2B" w:rsidRDefault="00000000">
            <w:r>
              <w:rPr>
                <w:sz w:val="18"/>
              </w:rPr>
              <w:t>A patient's name embedded in a sentence; address phrases.</w:t>
            </w:r>
          </w:p>
        </w:tc>
        <w:tc>
          <w:tcPr>
            <w:tcW w:w="2520" w:type="dxa"/>
            <w:shd w:val="clear" w:color="auto" w:fill="F3F6FA"/>
            <w:vAlign w:val="center"/>
          </w:tcPr>
          <w:p w14:paraId="3DF9AF05" w14:textId="77777777" w:rsidR="00632D2B" w:rsidRDefault="00000000">
            <w:r>
              <w:rPr>
                <w:sz w:val="18"/>
              </w:rPr>
              <w:t>Policy decisions.</w:t>
            </w:r>
          </w:p>
        </w:tc>
      </w:tr>
      <w:tr w:rsidR="00632D2B" w14:paraId="1BA55C59" w14:textId="77777777">
        <w:trPr>
          <w:jc w:val="center"/>
        </w:trPr>
        <w:tc>
          <w:tcPr>
            <w:tcW w:w="2520" w:type="dxa"/>
            <w:vAlign w:val="center"/>
          </w:tcPr>
          <w:p w14:paraId="0304667A" w14:textId="77777777" w:rsidR="00632D2B" w:rsidRDefault="00000000">
            <w:r>
              <w:rPr>
                <w:sz w:val="18"/>
              </w:rPr>
              <w:t>Document Context Validator</w:t>
            </w:r>
          </w:p>
        </w:tc>
        <w:tc>
          <w:tcPr>
            <w:tcW w:w="2520" w:type="dxa"/>
            <w:vAlign w:val="center"/>
          </w:tcPr>
          <w:p w14:paraId="5ADC00BA" w14:textId="77777777" w:rsidR="00632D2B" w:rsidRDefault="00000000">
            <w:r>
              <w:rPr>
                <w:sz w:val="18"/>
              </w:rPr>
              <w:t>Use section, role, and document type to adjust meaning.</w:t>
            </w:r>
          </w:p>
        </w:tc>
        <w:tc>
          <w:tcPr>
            <w:tcW w:w="2520" w:type="dxa"/>
            <w:vAlign w:val="center"/>
          </w:tcPr>
          <w:p w14:paraId="4514D86F" w14:textId="77777777" w:rsidR="00632D2B" w:rsidRDefault="00000000">
            <w:r>
              <w:rPr>
                <w:sz w:val="18"/>
              </w:rPr>
              <w:t>Distinguish patient name from reporting physician.</w:t>
            </w:r>
          </w:p>
        </w:tc>
        <w:tc>
          <w:tcPr>
            <w:tcW w:w="2520" w:type="dxa"/>
            <w:vAlign w:val="center"/>
          </w:tcPr>
          <w:p w14:paraId="4BBFE447" w14:textId="77777777" w:rsidR="00632D2B" w:rsidRDefault="00000000">
            <w:r>
              <w:rPr>
                <w:sz w:val="18"/>
              </w:rPr>
              <w:t>Replacing or hashing data.</w:t>
            </w:r>
          </w:p>
        </w:tc>
      </w:tr>
      <w:tr w:rsidR="00632D2B" w14:paraId="6C96DF9A" w14:textId="77777777">
        <w:trPr>
          <w:jc w:val="center"/>
        </w:trPr>
        <w:tc>
          <w:tcPr>
            <w:tcW w:w="2520" w:type="dxa"/>
            <w:shd w:val="clear" w:color="auto" w:fill="F3F6FA"/>
            <w:vAlign w:val="center"/>
          </w:tcPr>
          <w:p w14:paraId="31D49308" w14:textId="77777777" w:rsidR="00632D2B" w:rsidRDefault="00000000">
            <w:r>
              <w:rPr>
                <w:sz w:val="18"/>
              </w:rPr>
              <w:t>Detection Merger</w:t>
            </w:r>
          </w:p>
        </w:tc>
        <w:tc>
          <w:tcPr>
            <w:tcW w:w="2520" w:type="dxa"/>
            <w:shd w:val="clear" w:color="auto" w:fill="F3F6FA"/>
            <w:vAlign w:val="center"/>
          </w:tcPr>
          <w:p w14:paraId="4319656F" w14:textId="77777777" w:rsidR="00632D2B" w:rsidRDefault="00000000">
            <w:r>
              <w:rPr>
                <w:sz w:val="18"/>
              </w:rPr>
              <w:t>Combine overlapping or conflicting detections.</w:t>
            </w:r>
          </w:p>
        </w:tc>
        <w:tc>
          <w:tcPr>
            <w:tcW w:w="2520" w:type="dxa"/>
            <w:shd w:val="clear" w:color="auto" w:fill="F3F6FA"/>
            <w:vAlign w:val="center"/>
          </w:tcPr>
          <w:p w14:paraId="405530C3" w14:textId="77777777" w:rsidR="00632D2B" w:rsidRDefault="00000000">
            <w:r>
              <w:rPr>
                <w:sz w:val="18"/>
              </w:rPr>
              <w:t>Rule and AI identify the same span differently.</w:t>
            </w:r>
          </w:p>
        </w:tc>
        <w:tc>
          <w:tcPr>
            <w:tcW w:w="2520" w:type="dxa"/>
            <w:shd w:val="clear" w:color="auto" w:fill="F3F6FA"/>
            <w:vAlign w:val="center"/>
          </w:tcPr>
          <w:p w14:paraId="1F3C6FB9" w14:textId="77777777" w:rsidR="00632D2B" w:rsidRDefault="00000000">
            <w:r>
              <w:rPr>
                <w:sz w:val="18"/>
              </w:rPr>
              <w:t>Running external models.</w:t>
            </w:r>
          </w:p>
        </w:tc>
      </w:tr>
    </w:tbl>
    <w:p w14:paraId="730CF727" w14:textId="77777777" w:rsidR="00632D2B" w:rsidRDefault="00632D2B"/>
    <w:p w14:paraId="537275B3" w14:textId="77777777" w:rsidR="00632D2B" w:rsidRDefault="00000000">
      <w:pPr>
        <w:pStyle w:val="Heading2"/>
      </w:pPr>
      <w:r>
        <w:t>10.2 Unified Detection Contract</w:t>
      </w:r>
    </w:p>
    <w:p w14:paraId="691A2878" w14:textId="77777777" w:rsidR="00632D2B" w:rsidRDefault="00000000">
      <w:r>
        <w:t>Every detector must return DetectedEntity objects containing at least entity type, exact value, start and end offsets, source, and confidence. Optional metadata may include label, normalized label, section, page, bounding box, model version, and evidence.</w:t>
      </w:r>
    </w:p>
    <w:p w14:paraId="2B8F78A2" w14:textId="77777777" w:rsidR="00632D2B" w:rsidRDefault="00000000">
      <w:pPr>
        <w:pStyle w:val="Heading2"/>
      </w:pPr>
      <w:r>
        <w:t>10.3 Rules Versus AI</w:t>
      </w:r>
    </w:p>
    <w:p w14:paraId="3A13AE0D" w14:textId="77777777" w:rsidR="00632D2B" w:rsidRDefault="00000000">
      <w:r>
        <w:t>Rules are constrained to tasks where deterministic logic is strong: syntax, known identifiers, field delimiters, and validation. AI is used where semantic generalization is required. A missed entity must be classified as a detection, canonicalization, role/context, merger, policy, output, or ingestion issue; it must not create a second privacy pipeline or report-specific transformation fallback.</w:t>
      </w:r>
    </w:p>
    <w:p w14:paraId="20090257" w14:textId="77777777" w:rsidR="00632D2B" w:rsidRDefault="00000000">
      <w:pPr>
        <w:pStyle w:val="Heading1"/>
      </w:pPr>
      <w:r>
        <w:t>11. Clinical Information Extraction Architecture</w:t>
      </w:r>
    </w:p>
    <w:p w14:paraId="14AB8060" w14:textId="77777777" w:rsidR="00632D2B" w:rsidRDefault="00000000">
      <w:r>
        <w:t>After privacy protection, the same document-understanding foundation supports clinical extraction. Extraction will be document-aware because a finding in radiology, a diagnosis in pathology, and a result in laboratory documents have different structures and relationships.</w:t>
      </w:r>
    </w:p>
    <w:tbl>
      <w:tblPr>
        <w:tblStyle w:val="TableGrid"/>
        <w:tblW w:w="0" w:type="auto"/>
        <w:jc w:val="center"/>
        <w:tblLook w:val="04A0" w:firstRow="1" w:lastRow="0" w:firstColumn="1" w:lastColumn="0" w:noHBand="0" w:noVBand="1"/>
      </w:tblPr>
      <w:tblGrid>
        <w:gridCol w:w="5040"/>
        <w:gridCol w:w="5040"/>
      </w:tblGrid>
      <w:tr w:rsidR="00632D2B" w14:paraId="6DD4D027" w14:textId="77777777">
        <w:trPr>
          <w:jc w:val="center"/>
        </w:trPr>
        <w:tc>
          <w:tcPr>
            <w:tcW w:w="5040" w:type="dxa"/>
            <w:shd w:val="clear" w:color="auto" w:fill="173768"/>
            <w:vAlign w:val="center"/>
          </w:tcPr>
          <w:p w14:paraId="1268A244" w14:textId="77777777" w:rsidR="00632D2B" w:rsidRDefault="00000000">
            <w:r>
              <w:rPr>
                <w:b/>
                <w:color w:val="FFFFFF"/>
                <w:sz w:val="18"/>
              </w:rPr>
              <w:t>Domain</w:t>
            </w:r>
          </w:p>
        </w:tc>
        <w:tc>
          <w:tcPr>
            <w:tcW w:w="5040" w:type="dxa"/>
            <w:shd w:val="clear" w:color="auto" w:fill="173768"/>
            <w:vAlign w:val="center"/>
          </w:tcPr>
          <w:p w14:paraId="5325D7CE" w14:textId="77777777" w:rsidR="00632D2B" w:rsidRDefault="00000000">
            <w:r>
              <w:rPr>
                <w:b/>
                <w:color w:val="FFFFFF"/>
                <w:sz w:val="18"/>
              </w:rPr>
              <w:t>Examples of Structured Outputs</w:t>
            </w:r>
          </w:p>
        </w:tc>
      </w:tr>
      <w:tr w:rsidR="00632D2B" w14:paraId="394BAC52" w14:textId="77777777">
        <w:trPr>
          <w:jc w:val="center"/>
        </w:trPr>
        <w:tc>
          <w:tcPr>
            <w:tcW w:w="5040" w:type="dxa"/>
            <w:vAlign w:val="center"/>
          </w:tcPr>
          <w:p w14:paraId="18424B9A" w14:textId="77777777" w:rsidR="00632D2B" w:rsidRDefault="00000000">
            <w:r>
              <w:rPr>
                <w:sz w:val="18"/>
              </w:rPr>
              <w:t>Radiology</w:t>
            </w:r>
          </w:p>
        </w:tc>
        <w:tc>
          <w:tcPr>
            <w:tcW w:w="5040" w:type="dxa"/>
            <w:vAlign w:val="center"/>
          </w:tcPr>
          <w:p w14:paraId="425B07EB" w14:textId="77777777" w:rsidR="00632D2B" w:rsidRDefault="00000000">
            <w:r>
              <w:rPr>
                <w:sz w:val="18"/>
              </w:rPr>
              <w:t>Modality, body site, findings, size, laterality, comparison, impression, recommendations.</w:t>
            </w:r>
          </w:p>
        </w:tc>
      </w:tr>
      <w:tr w:rsidR="00632D2B" w14:paraId="144AD441" w14:textId="77777777">
        <w:trPr>
          <w:jc w:val="center"/>
        </w:trPr>
        <w:tc>
          <w:tcPr>
            <w:tcW w:w="5040" w:type="dxa"/>
            <w:shd w:val="clear" w:color="auto" w:fill="F3F6FA"/>
            <w:vAlign w:val="center"/>
          </w:tcPr>
          <w:p w14:paraId="271E997C" w14:textId="77777777" w:rsidR="00632D2B" w:rsidRDefault="00000000">
            <w:r>
              <w:rPr>
                <w:sz w:val="18"/>
              </w:rPr>
              <w:t>Laboratory</w:t>
            </w:r>
          </w:p>
        </w:tc>
        <w:tc>
          <w:tcPr>
            <w:tcW w:w="5040" w:type="dxa"/>
            <w:shd w:val="clear" w:color="auto" w:fill="F3F6FA"/>
            <w:vAlign w:val="center"/>
          </w:tcPr>
          <w:p w14:paraId="5BF2FFC3" w14:textId="77777777" w:rsidR="00632D2B" w:rsidRDefault="00000000">
            <w:r>
              <w:rPr>
                <w:sz w:val="18"/>
              </w:rPr>
              <w:t>Test name, LOINC candidate, value, unit, reference range, abnormal flag, specimen, collection time.</w:t>
            </w:r>
          </w:p>
        </w:tc>
      </w:tr>
      <w:tr w:rsidR="00632D2B" w14:paraId="419C8ABA" w14:textId="77777777">
        <w:trPr>
          <w:jc w:val="center"/>
        </w:trPr>
        <w:tc>
          <w:tcPr>
            <w:tcW w:w="5040" w:type="dxa"/>
            <w:vAlign w:val="center"/>
          </w:tcPr>
          <w:p w14:paraId="15BD711F" w14:textId="77777777" w:rsidR="00632D2B" w:rsidRDefault="00000000">
            <w:r>
              <w:rPr>
                <w:sz w:val="18"/>
              </w:rPr>
              <w:t>Pathology</w:t>
            </w:r>
          </w:p>
        </w:tc>
        <w:tc>
          <w:tcPr>
            <w:tcW w:w="5040" w:type="dxa"/>
            <w:vAlign w:val="center"/>
          </w:tcPr>
          <w:p w14:paraId="1FA96BE2" w14:textId="77777777" w:rsidR="00632D2B" w:rsidRDefault="00000000">
            <w:r>
              <w:rPr>
                <w:sz w:val="18"/>
              </w:rPr>
              <w:t>Specimen, morphology, grade, margins, biomarkers, stage elements, ICD-O candidates.</w:t>
            </w:r>
          </w:p>
        </w:tc>
      </w:tr>
      <w:tr w:rsidR="00632D2B" w14:paraId="0F346542" w14:textId="77777777">
        <w:trPr>
          <w:jc w:val="center"/>
        </w:trPr>
        <w:tc>
          <w:tcPr>
            <w:tcW w:w="5040" w:type="dxa"/>
            <w:shd w:val="clear" w:color="auto" w:fill="F3F6FA"/>
            <w:vAlign w:val="center"/>
          </w:tcPr>
          <w:p w14:paraId="2D82E24E" w14:textId="77777777" w:rsidR="00632D2B" w:rsidRDefault="00000000">
            <w:r>
              <w:rPr>
                <w:sz w:val="18"/>
              </w:rPr>
              <w:t>Emergency / Admission</w:t>
            </w:r>
          </w:p>
        </w:tc>
        <w:tc>
          <w:tcPr>
            <w:tcW w:w="5040" w:type="dxa"/>
            <w:shd w:val="clear" w:color="auto" w:fill="F3F6FA"/>
            <w:vAlign w:val="center"/>
          </w:tcPr>
          <w:p w14:paraId="113090EC" w14:textId="77777777" w:rsidR="00632D2B" w:rsidRDefault="00000000">
            <w:r>
              <w:rPr>
                <w:sz w:val="18"/>
              </w:rPr>
              <w:t>Chief complaint, triage, vitals, diagnoses, treatments, disposition, timestamps.</w:t>
            </w:r>
          </w:p>
        </w:tc>
      </w:tr>
      <w:tr w:rsidR="00632D2B" w14:paraId="67C03C9A" w14:textId="77777777">
        <w:trPr>
          <w:jc w:val="center"/>
        </w:trPr>
        <w:tc>
          <w:tcPr>
            <w:tcW w:w="5040" w:type="dxa"/>
            <w:vAlign w:val="center"/>
          </w:tcPr>
          <w:p w14:paraId="681D5F4E" w14:textId="77777777" w:rsidR="00632D2B" w:rsidRDefault="00000000">
            <w:r>
              <w:rPr>
                <w:sz w:val="18"/>
              </w:rPr>
              <w:t>Discharge</w:t>
            </w:r>
          </w:p>
        </w:tc>
        <w:tc>
          <w:tcPr>
            <w:tcW w:w="5040" w:type="dxa"/>
            <w:vAlign w:val="center"/>
          </w:tcPr>
          <w:p w14:paraId="49DE145E" w14:textId="77777777" w:rsidR="00632D2B" w:rsidRDefault="00000000">
            <w:r>
              <w:rPr>
                <w:sz w:val="18"/>
              </w:rPr>
              <w:t>Admission/discharge dates, principal diagnosis, secondary diagnoses, procedures, medications, follow-up, outcome.</w:t>
            </w:r>
          </w:p>
        </w:tc>
      </w:tr>
      <w:tr w:rsidR="00632D2B" w14:paraId="365AEEDC" w14:textId="77777777">
        <w:trPr>
          <w:jc w:val="center"/>
        </w:trPr>
        <w:tc>
          <w:tcPr>
            <w:tcW w:w="5040" w:type="dxa"/>
            <w:shd w:val="clear" w:color="auto" w:fill="F3F6FA"/>
            <w:vAlign w:val="center"/>
          </w:tcPr>
          <w:p w14:paraId="54E1D3B5" w14:textId="77777777" w:rsidR="00632D2B" w:rsidRDefault="00000000">
            <w:r>
              <w:rPr>
                <w:sz w:val="18"/>
              </w:rPr>
              <w:t>Operative Note</w:t>
            </w:r>
          </w:p>
        </w:tc>
        <w:tc>
          <w:tcPr>
            <w:tcW w:w="5040" w:type="dxa"/>
            <w:shd w:val="clear" w:color="auto" w:fill="F3F6FA"/>
            <w:vAlign w:val="center"/>
          </w:tcPr>
          <w:p w14:paraId="7683B8F1" w14:textId="77777777" w:rsidR="00632D2B" w:rsidRDefault="00000000">
            <w:r>
              <w:rPr>
                <w:sz w:val="18"/>
              </w:rPr>
              <w:t>Procedure, approach, findings, devices, specimens, complications, surgeon roles.</w:t>
            </w:r>
          </w:p>
        </w:tc>
      </w:tr>
      <w:tr w:rsidR="00632D2B" w14:paraId="4EDF679B" w14:textId="77777777">
        <w:trPr>
          <w:jc w:val="center"/>
        </w:trPr>
        <w:tc>
          <w:tcPr>
            <w:tcW w:w="5040" w:type="dxa"/>
            <w:vAlign w:val="center"/>
          </w:tcPr>
          <w:p w14:paraId="598A4AC2" w14:textId="77777777" w:rsidR="00632D2B" w:rsidRDefault="00000000">
            <w:r>
              <w:rPr>
                <w:sz w:val="18"/>
              </w:rPr>
              <w:t>Public Health</w:t>
            </w:r>
          </w:p>
        </w:tc>
        <w:tc>
          <w:tcPr>
            <w:tcW w:w="5040" w:type="dxa"/>
            <w:vAlign w:val="center"/>
          </w:tcPr>
          <w:p w14:paraId="2962D057" w14:textId="77777777" w:rsidR="00632D2B" w:rsidRDefault="00000000">
            <w:r>
              <w:rPr>
                <w:sz w:val="18"/>
              </w:rPr>
              <w:t>Case definitions, exposures, geography at permitted granularity, laboratory confirmation, outcome, contacts, intervention.</w:t>
            </w:r>
          </w:p>
        </w:tc>
      </w:tr>
    </w:tbl>
    <w:p w14:paraId="6B968284" w14:textId="77777777" w:rsidR="00632D2B" w:rsidRDefault="00632D2B"/>
    <w:p w14:paraId="081A00A9" w14:textId="77777777" w:rsidR="00632D2B" w:rsidRDefault="00000000">
      <w:pPr>
        <w:pStyle w:val="Heading1"/>
      </w:pPr>
      <w:r>
        <w:lastRenderedPageBreak/>
        <w:t>12. Terminology Normalization and Structured Data</w:t>
      </w:r>
    </w:p>
    <w:p w14:paraId="68980CDD" w14:textId="77777777" w:rsidR="00632D2B" w:rsidRDefault="00000000">
      <w:r>
        <w:t>Raw extracted phrases are not sufficient for cross-hospital analytics. MedNexus must preserve the original phrase while linking it to normalized concepts and codes.</w:t>
      </w:r>
    </w:p>
    <w:tbl>
      <w:tblPr>
        <w:tblStyle w:val="TableGrid"/>
        <w:tblW w:w="0" w:type="auto"/>
        <w:jc w:val="center"/>
        <w:tblLook w:val="04A0" w:firstRow="1" w:lastRow="0" w:firstColumn="1" w:lastColumn="0" w:noHBand="0" w:noVBand="1"/>
      </w:tblPr>
      <w:tblGrid>
        <w:gridCol w:w="5040"/>
        <w:gridCol w:w="5040"/>
      </w:tblGrid>
      <w:tr w:rsidR="00632D2B" w14:paraId="4C29A62D" w14:textId="77777777">
        <w:trPr>
          <w:jc w:val="center"/>
        </w:trPr>
        <w:tc>
          <w:tcPr>
            <w:tcW w:w="5040" w:type="dxa"/>
            <w:shd w:val="clear" w:color="auto" w:fill="173768"/>
            <w:vAlign w:val="center"/>
          </w:tcPr>
          <w:p w14:paraId="2C326057" w14:textId="77777777" w:rsidR="00632D2B" w:rsidRDefault="00000000">
            <w:r>
              <w:rPr>
                <w:b/>
                <w:color w:val="FFFFFF"/>
                <w:sz w:val="18"/>
              </w:rPr>
              <w:t>Standard</w:t>
            </w:r>
          </w:p>
        </w:tc>
        <w:tc>
          <w:tcPr>
            <w:tcW w:w="5040" w:type="dxa"/>
            <w:shd w:val="clear" w:color="auto" w:fill="173768"/>
            <w:vAlign w:val="center"/>
          </w:tcPr>
          <w:p w14:paraId="23A6AC38" w14:textId="77777777" w:rsidR="00632D2B" w:rsidRDefault="00000000">
            <w:r>
              <w:rPr>
                <w:b/>
                <w:color w:val="FFFFFF"/>
                <w:sz w:val="18"/>
              </w:rPr>
              <w:t>Planned Role</w:t>
            </w:r>
          </w:p>
        </w:tc>
      </w:tr>
      <w:tr w:rsidR="00632D2B" w14:paraId="2497F088" w14:textId="77777777">
        <w:trPr>
          <w:jc w:val="center"/>
        </w:trPr>
        <w:tc>
          <w:tcPr>
            <w:tcW w:w="5040" w:type="dxa"/>
            <w:vAlign w:val="center"/>
          </w:tcPr>
          <w:p w14:paraId="74D8F146" w14:textId="77777777" w:rsidR="00632D2B" w:rsidRDefault="00000000">
            <w:r>
              <w:rPr>
                <w:sz w:val="18"/>
              </w:rPr>
              <w:t>SNOMED CT</w:t>
            </w:r>
          </w:p>
        </w:tc>
        <w:tc>
          <w:tcPr>
            <w:tcW w:w="5040" w:type="dxa"/>
            <w:vAlign w:val="center"/>
          </w:tcPr>
          <w:p w14:paraId="41ACFDF8" w14:textId="77777777" w:rsidR="00632D2B" w:rsidRDefault="00000000">
            <w:r>
              <w:rPr>
                <w:sz w:val="18"/>
              </w:rPr>
              <w:t>Clinical concepts, findings, procedures, symptoms, and disorders.</w:t>
            </w:r>
          </w:p>
        </w:tc>
      </w:tr>
      <w:tr w:rsidR="00632D2B" w14:paraId="598B9E13" w14:textId="77777777">
        <w:trPr>
          <w:jc w:val="center"/>
        </w:trPr>
        <w:tc>
          <w:tcPr>
            <w:tcW w:w="5040" w:type="dxa"/>
            <w:shd w:val="clear" w:color="auto" w:fill="F3F6FA"/>
            <w:vAlign w:val="center"/>
          </w:tcPr>
          <w:p w14:paraId="73F35849" w14:textId="77777777" w:rsidR="00632D2B" w:rsidRDefault="00000000">
            <w:r>
              <w:rPr>
                <w:sz w:val="18"/>
              </w:rPr>
              <w:t>ICD-10</w:t>
            </w:r>
          </w:p>
        </w:tc>
        <w:tc>
          <w:tcPr>
            <w:tcW w:w="5040" w:type="dxa"/>
            <w:shd w:val="clear" w:color="auto" w:fill="F3F6FA"/>
            <w:vAlign w:val="center"/>
          </w:tcPr>
          <w:p w14:paraId="598EE247" w14:textId="77777777" w:rsidR="00632D2B" w:rsidRDefault="00000000">
            <w:r>
              <w:rPr>
                <w:sz w:val="18"/>
              </w:rPr>
              <w:t>Diagnosis classification and reporting.</w:t>
            </w:r>
          </w:p>
        </w:tc>
      </w:tr>
      <w:tr w:rsidR="00632D2B" w14:paraId="5286B334" w14:textId="77777777">
        <w:trPr>
          <w:jc w:val="center"/>
        </w:trPr>
        <w:tc>
          <w:tcPr>
            <w:tcW w:w="5040" w:type="dxa"/>
            <w:vAlign w:val="center"/>
          </w:tcPr>
          <w:p w14:paraId="5C3C2866" w14:textId="77777777" w:rsidR="00632D2B" w:rsidRDefault="00000000">
            <w:r>
              <w:rPr>
                <w:sz w:val="18"/>
              </w:rPr>
              <w:t>LOINC</w:t>
            </w:r>
          </w:p>
        </w:tc>
        <w:tc>
          <w:tcPr>
            <w:tcW w:w="5040" w:type="dxa"/>
            <w:vAlign w:val="center"/>
          </w:tcPr>
          <w:p w14:paraId="0AE6C7AB" w14:textId="77777777" w:rsidR="00632D2B" w:rsidRDefault="00000000">
            <w:r>
              <w:rPr>
                <w:sz w:val="18"/>
              </w:rPr>
              <w:t>Laboratory tests and clinical observations.</w:t>
            </w:r>
          </w:p>
        </w:tc>
      </w:tr>
      <w:tr w:rsidR="00632D2B" w14:paraId="0DCB045A" w14:textId="77777777">
        <w:trPr>
          <w:jc w:val="center"/>
        </w:trPr>
        <w:tc>
          <w:tcPr>
            <w:tcW w:w="5040" w:type="dxa"/>
            <w:shd w:val="clear" w:color="auto" w:fill="F3F6FA"/>
            <w:vAlign w:val="center"/>
          </w:tcPr>
          <w:p w14:paraId="1495A1B1" w14:textId="77777777" w:rsidR="00632D2B" w:rsidRDefault="00000000">
            <w:r>
              <w:rPr>
                <w:sz w:val="18"/>
              </w:rPr>
              <w:t>RxNorm or local medication terminology</w:t>
            </w:r>
          </w:p>
        </w:tc>
        <w:tc>
          <w:tcPr>
            <w:tcW w:w="5040" w:type="dxa"/>
            <w:shd w:val="clear" w:color="auto" w:fill="F3F6FA"/>
            <w:vAlign w:val="center"/>
          </w:tcPr>
          <w:p w14:paraId="4B68C7EF" w14:textId="77777777" w:rsidR="00632D2B" w:rsidRDefault="00000000">
            <w:r>
              <w:rPr>
                <w:sz w:val="18"/>
              </w:rPr>
              <w:t>Medication normalization where licensing and regional suitability permit.</w:t>
            </w:r>
          </w:p>
        </w:tc>
      </w:tr>
      <w:tr w:rsidR="00632D2B" w14:paraId="249C3FAA" w14:textId="77777777">
        <w:trPr>
          <w:jc w:val="center"/>
        </w:trPr>
        <w:tc>
          <w:tcPr>
            <w:tcW w:w="5040" w:type="dxa"/>
            <w:vAlign w:val="center"/>
          </w:tcPr>
          <w:p w14:paraId="4072B315" w14:textId="77777777" w:rsidR="00632D2B" w:rsidRDefault="00000000">
            <w:r>
              <w:rPr>
                <w:sz w:val="18"/>
              </w:rPr>
              <w:t>ICD-O</w:t>
            </w:r>
          </w:p>
        </w:tc>
        <w:tc>
          <w:tcPr>
            <w:tcW w:w="5040" w:type="dxa"/>
            <w:vAlign w:val="center"/>
          </w:tcPr>
          <w:p w14:paraId="0B4D03ED" w14:textId="77777777" w:rsidR="00632D2B" w:rsidRDefault="00000000">
            <w:r>
              <w:rPr>
                <w:sz w:val="18"/>
              </w:rPr>
              <w:t>Oncology morphology and topography.</w:t>
            </w:r>
          </w:p>
        </w:tc>
      </w:tr>
      <w:tr w:rsidR="00632D2B" w14:paraId="4174441F" w14:textId="77777777">
        <w:trPr>
          <w:jc w:val="center"/>
        </w:trPr>
        <w:tc>
          <w:tcPr>
            <w:tcW w:w="5040" w:type="dxa"/>
            <w:shd w:val="clear" w:color="auto" w:fill="F3F6FA"/>
            <w:vAlign w:val="center"/>
          </w:tcPr>
          <w:p w14:paraId="194328D0" w14:textId="77777777" w:rsidR="00632D2B" w:rsidRDefault="00000000">
            <w:r>
              <w:rPr>
                <w:sz w:val="18"/>
              </w:rPr>
              <w:t>UCUM</w:t>
            </w:r>
          </w:p>
        </w:tc>
        <w:tc>
          <w:tcPr>
            <w:tcW w:w="5040" w:type="dxa"/>
            <w:shd w:val="clear" w:color="auto" w:fill="F3F6FA"/>
            <w:vAlign w:val="center"/>
          </w:tcPr>
          <w:p w14:paraId="4081750D" w14:textId="77777777" w:rsidR="00632D2B" w:rsidRDefault="00000000">
            <w:r>
              <w:rPr>
                <w:sz w:val="18"/>
              </w:rPr>
              <w:t>Standard measurement units.</w:t>
            </w:r>
          </w:p>
        </w:tc>
      </w:tr>
      <w:tr w:rsidR="00632D2B" w14:paraId="082BC5DE" w14:textId="77777777">
        <w:trPr>
          <w:jc w:val="center"/>
        </w:trPr>
        <w:tc>
          <w:tcPr>
            <w:tcW w:w="5040" w:type="dxa"/>
            <w:vAlign w:val="center"/>
          </w:tcPr>
          <w:p w14:paraId="24662F48" w14:textId="77777777" w:rsidR="00632D2B" w:rsidRDefault="00000000">
            <w:r>
              <w:rPr>
                <w:sz w:val="18"/>
              </w:rPr>
              <w:t>FHIR resources/profiles</w:t>
            </w:r>
          </w:p>
        </w:tc>
        <w:tc>
          <w:tcPr>
            <w:tcW w:w="5040" w:type="dxa"/>
            <w:vAlign w:val="center"/>
          </w:tcPr>
          <w:p w14:paraId="7F30A4B6" w14:textId="77777777" w:rsidR="00632D2B" w:rsidRDefault="00000000">
            <w:r>
              <w:rPr>
                <w:sz w:val="18"/>
              </w:rPr>
              <w:t>Interoperable representation and exchange.</w:t>
            </w:r>
          </w:p>
        </w:tc>
      </w:tr>
    </w:tbl>
    <w:p w14:paraId="125290EB" w14:textId="77777777" w:rsidR="00632D2B" w:rsidRDefault="00632D2B"/>
    <w:p w14:paraId="048E54DA" w14:textId="77777777" w:rsidR="00632D2B" w:rsidRDefault="00000000">
      <w:r>
        <w:t>The structured repository must store original text span, normalized concept, confidence, extraction source, model version, policy state, document ID, and processing timestamp. This provenance is essential for audit, clinical validation, and research reproducibility.</w:t>
      </w:r>
    </w:p>
    <w:p w14:paraId="6359DBA0" w14:textId="77777777" w:rsidR="00632D2B" w:rsidRDefault="00000000">
      <w:pPr>
        <w:pStyle w:val="Heading1"/>
      </w:pPr>
      <w:r>
        <w:t>13. Analytics, Statistics, and Indicators</w:t>
      </w:r>
    </w:p>
    <w:p w14:paraId="094B7E51" w14:textId="77777777" w:rsidR="00632D2B" w:rsidRDefault="00000000">
      <w:r>
        <w:t>Analytics is a downstream platform capability, not a direct LLM summary of documents. Statistics must be computed from validated structured records.</w:t>
      </w:r>
    </w:p>
    <w:p w14:paraId="3039A033" w14:textId="77777777" w:rsidR="00632D2B" w:rsidRDefault="00000000">
      <w:pPr>
        <w:pStyle w:val="ListBullet"/>
      </w:pPr>
      <w:r>
        <w:t>Case counts and trends by diagnosis, procedure, laboratory result, or finding.</w:t>
      </w:r>
    </w:p>
    <w:p w14:paraId="2DC395E7" w14:textId="77777777" w:rsidR="00632D2B" w:rsidRDefault="00000000">
      <w:pPr>
        <w:pStyle w:val="ListBullet"/>
      </w:pPr>
      <w:r>
        <w:t>Admission, discharge, referral, outcome, and length-of-stay indicators.</w:t>
      </w:r>
    </w:p>
    <w:p w14:paraId="435A7C6F" w14:textId="77777777" w:rsidR="00632D2B" w:rsidRDefault="00000000">
      <w:pPr>
        <w:pStyle w:val="ListBullet"/>
      </w:pPr>
      <w:r>
        <w:t>Radiology and pathology workload and finding distributions.</w:t>
      </w:r>
    </w:p>
    <w:p w14:paraId="01648D0A" w14:textId="77777777" w:rsidR="00632D2B" w:rsidRDefault="00000000">
      <w:pPr>
        <w:pStyle w:val="ListBullet"/>
      </w:pPr>
      <w:r>
        <w:t>Laboratory positivity rates, abnormal-result trends, and turnaround-time metrics.</w:t>
      </w:r>
    </w:p>
    <w:p w14:paraId="09835C87" w14:textId="77777777" w:rsidR="00632D2B" w:rsidRDefault="00000000">
      <w:pPr>
        <w:pStyle w:val="ListBullet"/>
      </w:pPr>
      <w:r>
        <w:t>Data quality and documentation completeness indicators.</w:t>
      </w:r>
    </w:p>
    <w:p w14:paraId="0F815ABF" w14:textId="77777777" w:rsidR="00632D2B" w:rsidRDefault="00000000">
      <w:pPr>
        <w:pStyle w:val="ListBullet"/>
      </w:pPr>
      <w:r>
        <w:t>Cohort identification for approved research.</w:t>
      </w:r>
    </w:p>
    <w:p w14:paraId="70831D19" w14:textId="77777777" w:rsidR="00632D2B" w:rsidRDefault="00000000">
      <w:pPr>
        <w:pStyle w:val="ListBullet"/>
      </w:pPr>
      <w:r>
        <w:t>Public-health surveillance and aggregate epidemiological indicators.</w:t>
      </w:r>
    </w:p>
    <w:p w14:paraId="71004A1E" w14:textId="77777777" w:rsidR="00632D2B" w:rsidRDefault="00000000">
      <w:pPr>
        <w:pStyle w:val="ListBullet"/>
      </w:pPr>
      <w:r>
        <w:t>Search and question answering that can cite the source document and source span.</w:t>
      </w:r>
    </w:p>
    <w:p w14:paraId="33285710" w14:textId="77777777" w:rsidR="00632D2B" w:rsidRDefault="00000000">
      <w:pPr>
        <w:pStyle w:val="Heading1"/>
      </w:pPr>
      <w:r>
        <w:t>14. Engine-Agnostic Open-Source AI Strategy</w:t>
      </w:r>
    </w:p>
    <w:p w14:paraId="2DA0C586" w14:textId="77777777" w:rsidR="00632D2B" w:rsidRDefault="00000000">
      <w:r>
        <w:t>MedNexus will collect, evaluate, and use multiple open-source engines. The platform's competitive value is not the number of models installed; it is the ability to select, combine, validate, govern, and safely operate the best engine for each task.</w:t>
      </w:r>
    </w:p>
    <w:tbl>
      <w:tblPr>
        <w:tblStyle w:val="TableGrid"/>
        <w:tblW w:w="0" w:type="auto"/>
        <w:jc w:val="center"/>
        <w:tblLook w:val="04A0" w:firstRow="1" w:lastRow="0" w:firstColumn="1" w:lastColumn="0" w:noHBand="0" w:noVBand="1"/>
      </w:tblPr>
      <w:tblGrid>
        <w:gridCol w:w="5040"/>
        <w:gridCol w:w="5040"/>
      </w:tblGrid>
      <w:tr w:rsidR="00632D2B" w14:paraId="4EB89FAE" w14:textId="77777777">
        <w:trPr>
          <w:jc w:val="center"/>
        </w:trPr>
        <w:tc>
          <w:tcPr>
            <w:tcW w:w="5040" w:type="dxa"/>
            <w:shd w:val="clear" w:color="auto" w:fill="173768"/>
            <w:vAlign w:val="center"/>
          </w:tcPr>
          <w:p w14:paraId="0BC66ED0" w14:textId="77777777" w:rsidR="00632D2B" w:rsidRDefault="00000000">
            <w:r>
              <w:rPr>
                <w:b/>
                <w:color w:val="FFFFFF"/>
                <w:sz w:val="18"/>
              </w:rPr>
              <w:t>Component</w:t>
            </w:r>
          </w:p>
        </w:tc>
        <w:tc>
          <w:tcPr>
            <w:tcW w:w="5040" w:type="dxa"/>
            <w:shd w:val="clear" w:color="auto" w:fill="173768"/>
            <w:vAlign w:val="center"/>
          </w:tcPr>
          <w:p w14:paraId="5695DFD4" w14:textId="77777777" w:rsidR="00632D2B" w:rsidRDefault="00000000">
            <w:r>
              <w:rPr>
                <w:b/>
                <w:color w:val="FFFFFF"/>
                <w:sz w:val="18"/>
              </w:rPr>
              <w:t>Required MedNexus Control</w:t>
            </w:r>
          </w:p>
        </w:tc>
      </w:tr>
      <w:tr w:rsidR="00632D2B" w14:paraId="6A1766FF" w14:textId="77777777">
        <w:trPr>
          <w:jc w:val="center"/>
        </w:trPr>
        <w:tc>
          <w:tcPr>
            <w:tcW w:w="5040" w:type="dxa"/>
            <w:vAlign w:val="center"/>
          </w:tcPr>
          <w:p w14:paraId="1BD2C3FC" w14:textId="77777777" w:rsidR="00632D2B" w:rsidRDefault="00000000">
            <w:r>
              <w:rPr>
                <w:sz w:val="18"/>
              </w:rPr>
              <w:t>Engine Adapter</w:t>
            </w:r>
          </w:p>
        </w:tc>
        <w:tc>
          <w:tcPr>
            <w:tcW w:w="5040" w:type="dxa"/>
            <w:vAlign w:val="center"/>
          </w:tcPr>
          <w:p w14:paraId="7FB551FE" w14:textId="77777777" w:rsidR="00632D2B" w:rsidRDefault="00000000">
            <w:r>
              <w:rPr>
                <w:sz w:val="18"/>
              </w:rPr>
              <w:t>Standard input/output, errors, timeouts, logging, and health status.</w:t>
            </w:r>
          </w:p>
        </w:tc>
      </w:tr>
      <w:tr w:rsidR="00632D2B" w14:paraId="77106C0A" w14:textId="77777777">
        <w:trPr>
          <w:jc w:val="center"/>
        </w:trPr>
        <w:tc>
          <w:tcPr>
            <w:tcW w:w="5040" w:type="dxa"/>
            <w:shd w:val="clear" w:color="auto" w:fill="F3F6FA"/>
            <w:vAlign w:val="center"/>
          </w:tcPr>
          <w:p w14:paraId="1ED729DE" w14:textId="77777777" w:rsidR="00632D2B" w:rsidRDefault="00000000">
            <w:r>
              <w:rPr>
                <w:sz w:val="18"/>
              </w:rPr>
              <w:t>Model Registry</w:t>
            </w:r>
          </w:p>
        </w:tc>
        <w:tc>
          <w:tcPr>
            <w:tcW w:w="5040" w:type="dxa"/>
            <w:shd w:val="clear" w:color="auto" w:fill="F3F6FA"/>
            <w:vAlign w:val="center"/>
          </w:tcPr>
          <w:p w14:paraId="3F6DEC56" w14:textId="77777777" w:rsidR="00632D2B" w:rsidRDefault="00000000">
            <w:r>
              <w:rPr>
                <w:sz w:val="18"/>
              </w:rPr>
              <w:t>Name, source, task, version, license, language, domain, hardware, checksum, and approval state.</w:t>
            </w:r>
          </w:p>
        </w:tc>
      </w:tr>
      <w:tr w:rsidR="00632D2B" w14:paraId="12887DBB" w14:textId="77777777">
        <w:trPr>
          <w:jc w:val="center"/>
        </w:trPr>
        <w:tc>
          <w:tcPr>
            <w:tcW w:w="5040" w:type="dxa"/>
            <w:vAlign w:val="center"/>
          </w:tcPr>
          <w:p w14:paraId="4C0DC2CE" w14:textId="77777777" w:rsidR="00632D2B" w:rsidRDefault="00000000">
            <w:r>
              <w:rPr>
                <w:sz w:val="18"/>
              </w:rPr>
              <w:t>Benchmark Registry</w:t>
            </w:r>
          </w:p>
        </w:tc>
        <w:tc>
          <w:tcPr>
            <w:tcW w:w="5040" w:type="dxa"/>
            <w:vAlign w:val="center"/>
          </w:tcPr>
          <w:p w14:paraId="46F72663" w14:textId="77777777" w:rsidR="00632D2B" w:rsidRDefault="00000000">
            <w:r>
              <w:rPr>
                <w:sz w:val="18"/>
              </w:rPr>
              <w:t>Dataset, metrics, thresholds, runtime, memory, false negatives, and false positives.</w:t>
            </w:r>
          </w:p>
        </w:tc>
      </w:tr>
      <w:tr w:rsidR="00632D2B" w14:paraId="2A9E506C" w14:textId="77777777">
        <w:trPr>
          <w:jc w:val="center"/>
        </w:trPr>
        <w:tc>
          <w:tcPr>
            <w:tcW w:w="5040" w:type="dxa"/>
            <w:shd w:val="clear" w:color="auto" w:fill="F3F6FA"/>
            <w:vAlign w:val="center"/>
          </w:tcPr>
          <w:p w14:paraId="194C39A4" w14:textId="77777777" w:rsidR="00632D2B" w:rsidRDefault="00000000">
            <w:r>
              <w:rPr>
                <w:sz w:val="18"/>
              </w:rPr>
              <w:t>Routing Policy</w:t>
            </w:r>
          </w:p>
        </w:tc>
        <w:tc>
          <w:tcPr>
            <w:tcW w:w="5040" w:type="dxa"/>
            <w:shd w:val="clear" w:color="auto" w:fill="F3F6FA"/>
            <w:vAlign w:val="center"/>
          </w:tcPr>
          <w:p w14:paraId="1C4BFFBA" w14:textId="77777777" w:rsidR="00632D2B" w:rsidRDefault="00000000">
            <w:r>
              <w:rPr>
                <w:sz w:val="18"/>
              </w:rPr>
              <w:t>Select engine by document type, language, task, privacy mode, and available hardware.</w:t>
            </w:r>
          </w:p>
        </w:tc>
      </w:tr>
      <w:tr w:rsidR="00632D2B" w14:paraId="6A4FF135" w14:textId="77777777">
        <w:trPr>
          <w:jc w:val="center"/>
        </w:trPr>
        <w:tc>
          <w:tcPr>
            <w:tcW w:w="5040" w:type="dxa"/>
            <w:vAlign w:val="center"/>
          </w:tcPr>
          <w:p w14:paraId="16800E83" w14:textId="77777777" w:rsidR="00632D2B" w:rsidRDefault="00000000">
            <w:r>
              <w:rPr>
                <w:sz w:val="18"/>
              </w:rPr>
              <w:t>Fallback</w:t>
            </w:r>
          </w:p>
        </w:tc>
        <w:tc>
          <w:tcPr>
            <w:tcW w:w="5040" w:type="dxa"/>
            <w:vAlign w:val="center"/>
          </w:tcPr>
          <w:p w14:paraId="49B971CF" w14:textId="77777777" w:rsidR="00632D2B" w:rsidRDefault="00000000">
            <w:r>
              <w:rPr>
                <w:sz w:val="18"/>
              </w:rPr>
              <w:t xml:space="preserve">Alternative engine or manual-review path when confidence or </w:t>
            </w:r>
            <w:r>
              <w:rPr>
                <w:sz w:val="18"/>
              </w:rPr>
              <w:lastRenderedPageBreak/>
              <w:t>availability is insufficient.</w:t>
            </w:r>
          </w:p>
        </w:tc>
      </w:tr>
      <w:tr w:rsidR="00632D2B" w14:paraId="41F445C9" w14:textId="77777777">
        <w:trPr>
          <w:jc w:val="center"/>
        </w:trPr>
        <w:tc>
          <w:tcPr>
            <w:tcW w:w="5040" w:type="dxa"/>
            <w:shd w:val="clear" w:color="auto" w:fill="F3F6FA"/>
            <w:vAlign w:val="center"/>
          </w:tcPr>
          <w:p w14:paraId="17E56462" w14:textId="77777777" w:rsidR="00632D2B" w:rsidRDefault="00000000">
            <w:r>
              <w:rPr>
                <w:sz w:val="18"/>
              </w:rPr>
              <w:lastRenderedPageBreak/>
              <w:t>Deployment Profile</w:t>
            </w:r>
          </w:p>
        </w:tc>
        <w:tc>
          <w:tcPr>
            <w:tcW w:w="5040" w:type="dxa"/>
            <w:shd w:val="clear" w:color="auto" w:fill="F3F6FA"/>
            <w:vAlign w:val="center"/>
          </w:tcPr>
          <w:p w14:paraId="5648CD2E" w14:textId="77777777" w:rsidR="00632D2B" w:rsidRDefault="00000000">
            <w:r>
              <w:rPr>
                <w:sz w:val="18"/>
              </w:rPr>
              <w:t>CPU/GPU, offline assets, cache location, model download policy, and update control.</w:t>
            </w:r>
          </w:p>
        </w:tc>
      </w:tr>
    </w:tbl>
    <w:p w14:paraId="53261552" w14:textId="77777777" w:rsidR="00632D2B" w:rsidRDefault="00632D2B"/>
    <w:p w14:paraId="42DF552A" w14:textId="77777777" w:rsidR="003073BF" w:rsidRDefault="003073BF"/>
    <w:p w14:paraId="1775550F" w14:textId="77777777" w:rsidR="003073BF" w:rsidRDefault="003073BF"/>
    <w:p w14:paraId="631C48B3" w14:textId="7777777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14.1 MedNexus Open-Source Reference and Evaluation Strategy</w:t>
      </w:r>
    </w:p>
    <w:p w14:paraId="48F043F6" w14:textId="77777777" w:rsidR="003073BF" w:rsidRDefault="003073BF" w:rsidP="003073BF">
      <w:r>
        <w:t>MedNexus will systematically study, benchmark, and selectively integrate proven open-source medical AI, clinical NLP, privacy, and document-processing technologies.</w:t>
      </w:r>
    </w:p>
    <w:p w14:paraId="743D6918" w14:textId="11F040BD" w:rsidR="003073BF" w:rsidRDefault="003073BF" w:rsidP="003073BF">
      <w:r>
        <w:t>The purpose of this strategy is to avoid both unnecessary reinvention and uncontrolled copy-paste development.</w:t>
      </w:r>
    </w:p>
    <w:p w14:paraId="101552BF" w14:textId="446C2223" w:rsidR="003073BF" w:rsidRDefault="003073BF" w:rsidP="003073BF">
      <w:r>
        <w:t>External technologies may inform or extend MedNexus, but they must not replace the MedNexus architecture, policy framework, unified contracts, clinical validation requirements, audit model, or product governance.</w:t>
      </w:r>
    </w:p>
    <w:p w14:paraId="2892B13A" w14:textId="0366768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14.2 Classification of External Technologies</w:t>
      </w:r>
    </w:p>
    <w:p w14:paraId="1EA5B452" w14:textId="77777777" w:rsidR="003073BF" w:rsidRDefault="003073BF" w:rsidP="003073BF">
      <w:r>
        <w:t>Every external open-source project, model, library, dataset, or platform reviewed by MedNexus must be classified into one or more of the following roles:</w:t>
      </w:r>
    </w:p>
    <w:p w14:paraId="428AAAD6" w14:textId="0CDDDC68" w:rsidR="003073BF" w:rsidRPr="003073BF" w:rsidRDefault="003073BF" w:rsidP="003073BF">
      <w:pPr>
        <w:rPr>
          <w:b/>
          <w:bCs/>
          <w:u w:val="single"/>
        </w:rPr>
      </w:pPr>
      <w:r w:rsidRPr="003073BF">
        <w:rPr>
          <w:b/>
          <w:bCs/>
          <w:u w:val="single"/>
        </w:rPr>
        <w:t>1. Reference Implementation</w:t>
      </w:r>
    </w:p>
    <w:p w14:paraId="1B13CF28" w14:textId="365D4092" w:rsidR="003073BF" w:rsidRDefault="003073BF" w:rsidP="003073BF">
      <w:r>
        <w:t>A project studied for its architecture, algorithms, design patterns, evaluation methods, edge cases, or engineering lessons.</w:t>
      </w:r>
    </w:p>
    <w:p w14:paraId="0A95F00C" w14:textId="3283031F" w:rsidR="003073BF" w:rsidRDefault="003073BF" w:rsidP="003073BF">
      <w:r>
        <w:t>Reference implementations may influence MedNexus design but are not automatically integrated into the runtime platform.</w:t>
      </w:r>
    </w:p>
    <w:p w14:paraId="2B39B3A1" w14:textId="671B8D2F" w:rsidR="003073BF" w:rsidRPr="003073BF" w:rsidRDefault="003073BF" w:rsidP="003073BF">
      <w:pPr>
        <w:rPr>
          <w:b/>
          <w:bCs/>
          <w:u w:val="single"/>
        </w:rPr>
      </w:pPr>
      <w:r w:rsidRPr="003073BF">
        <w:rPr>
          <w:b/>
          <w:bCs/>
          <w:u w:val="single"/>
        </w:rPr>
        <w:t>2. Candidate Component or Engine</w:t>
      </w:r>
    </w:p>
    <w:p w14:paraId="05E02154" w14:textId="27042482" w:rsidR="003073BF" w:rsidRDefault="003073BF" w:rsidP="003073BF">
      <w:r>
        <w:t>A project or model considered for controlled integration through a MedNexus adapter.</w:t>
      </w:r>
    </w:p>
    <w:p w14:paraId="683633F4" w14:textId="64F9604C" w:rsidR="003073BF" w:rsidRDefault="003073BF" w:rsidP="003073BF">
      <w:r>
        <w:t>Candidate components must successfully complete technical, clinical, privacy, licensing, security, and performance evaluation before approval.</w:t>
      </w:r>
    </w:p>
    <w:p w14:paraId="36D86F47" w14:textId="4DF031FA" w:rsidR="003073BF" w:rsidRPr="003073BF" w:rsidRDefault="003073BF" w:rsidP="003073BF">
      <w:pPr>
        <w:rPr>
          <w:b/>
          <w:bCs/>
          <w:u w:val="single"/>
        </w:rPr>
      </w:pPr>
      <w:r w:rsidRPr="003073BF">
        <w:rPr>
          <w:b/>
          <w:bCs/>
          <w:u w:val="single"/>
        </w:rPr>
        <w:t>3. Benchmark Comparator</w:t>
      </w:r>
    </w:p>
    <w:p w14:paraId="1B822F7E" w14:textId="12BA3304" w:rsidR="003073BF" w:rsidRDefault="003073BF" w:rsidP="003073BF">
      <w:r>
        <w:t>A tool, model, dataset, or implementation used to compare MedNexus accuracy, privacy protection, clinical-content preservation, runtime, or operational behavior.</w:t>
      </w:r>
    </w:p>
    <w:p w14:paraId="6F12B457" w14:textId="0C43E936" w:rsidR="003073BF" w:rsidRDefault="003073BF" w:rsidP="003073BF">
      <w:r>
        <w:t>Benchmark comparators may remain external and do not need to become part of the production platform.</w:t>
      </w:r>
    </w:p>
    <w:p w14:paraId="1D3AA19C" w14:textId="24567E6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14.3 MedNexus Remains the Orchestrator</w:t>
      </w:r>
    </w:p>
    <w:p w14:paraId="2F7534AC" w14:textId="460D74DA" w:rsidR="003073BF" w:rsidRDefault="003073BF" w:rsidP="003073BF">
      <w:r>
        <w:t>All external engines and components must operate behind governed MedNexus interfaces and adapters.</w:t>
      </w:r>
    </w:p>
    <w:p w14:paraId="2333E093" w14:textId="77777777" w:rsidR="003073BF" w:rsidRDefault="003073BF" w:rsidP="003073BF"/>
    <w:p w14:paraId="340C1BA7" w14:textId="77777777" w:rsidR="003073BF" w:rsidRDefault="003073BF" w:rsidP="003073BF"/>
    <w:p w14:paraId="09BDFDF6" w14:textId="77777777" w:rsidR="003073BF" w:rsidRDefault="003073BF" w:rsidP="003073BF"/>
    <w:p w14:paraId="06ADEC2F" w14:textId="77777777" w:rsidR="003073BF" w:rsidRDefault="003073BF" w:rsidP="003073BF"/>
    <w:p w14:paraId="1AC4D3F5" w14:textId="77777777" w:rsidR="003073BF" w:rsidRDefault="003073BF" w:rsidP="003073BF"/>
    <w:p w14:paraId="49AFFCCF" w14:textId="594A845D" w:rsidR="003073BF" w:rsidRDefault="003073BF" w:rsidP="003073BF">
      <w:r>
        <w:t>The required architectural direction is:</w:t>
      </w:r>
    </w:p>
    <w:p w14:paraId="7F8262F1" w14:textId="77777777" w:rsidR="003073BF" w:rsidRDefault="003073BF" w:rsidP="003073BF">
      <w:r>
        <w:t>MedNexus API</w:t>
      </w:r>
    </w:p>
    <w:p w14:paraId="481ABE46" w14:textId="77777777" w:rsidR="003073BF" w:rsidRDefault="003073BF" w:rsidP="003073BF">
      <w:r>
        <w:t xml:space="preserve">        |</w:t>
      </w:r>
    </w:p>
    <w:p w14:paraId="45024DAF" w14:textId="77777777" w:rsidR="003073BF" w:rsidRDefault="003073BF" w:rsidP="003073BF">
      <w:r>
        <w:t xml:space="preserve">        v</w:t>
      </w:r>
    </w:p>
    <w:p w14:paraId="046B0CA4" w14:textId="77777777" w:rsidR="003073BF" w:rsidRDefault="003073BF" w:rsidP="003073BF">
      <w:r>
        <w:t>MedNexus Processing Pipeline</w:t>
      </w:r>
    </w:p>
    <w:p w14:paraId="19D0AFCB" w14:textId="77777777" w:rsidR="003073BF" w:rsidRDefault="003073BF" w:rsidP="003073BF">
      <w:r>
        <w:t xml:space="preserve">        |</w:t>
      </w:r>
    </w:p>
    <w:p w14:paraId="75F4CBC5" w14:textId="77777777" w:rsidR="003073BF" w:rsidRDefault="003073BF" w:rsidP="003073BF">
      <w:r>
        <w:t xml:space="preserve">        v</w:t>
      </w:r>
    </w:p>
    <w:p w14:paraId="4B3A3A47" w14:textId="77777777" w:rsidR="003073BF" w:rsidRDefault="003073BF" w:rsidP="003073BF">
      <w:r>
        <w:t>Detection or Processing Orchestrator</w:t>
      </w:r>
    </w:p>
    <w:p w14:paraId="13DA9D6C" w14:textId="77777777" w:rsidR="003073BF" w:rsidRDefault="003073BF" w:rsidP="003073BF">
      <w:r>
        <w:t xml:space="preserve">        |</w:t>
      </w:r>
    </w:p>
    <w:p w14:paraId="44D5F3BA" w14:textId="77777777" w:rsidR="003073BF" w:rsidRDefault="003073BF" w:rsidP="003073BF">
      <w:r>
        <w:t xml:space="preserve">        v</w:t>
      </w:r>
    </w:p>
    <w:p w14:paraId="5EF408F3" w14:textId="77777777" w:rsidR="003073BF" w:rsidRDefault="003073BF" w:rsidP="003073BF">
      <w:r>
        <w:t>MedNexus Adapter</w:t>
      </w:r>
    </w:p>
    <w:p w14:paraId="53083F13" w14:textId="77777777" w:rsidR="003073BF" w:rsidRDefault="003073BF" w:rsidP="003073BF">
      <w:r>
        <w:t xml:space="preserve">        |</w:t>
      </w:r>
    </w:p>
    <w:p w14:paraId="7E688BD9" w14:textId="77777777" w:rsidR="003073BF" w:rsidRDefault="003073BF" w:rsidP="003073BF">
      <w:r>
        <w:t xml:space="preserve">        v</w:t>
      </w:r>
    </w:p>
    <w:p w14:paraId="0BC9FCC5" w14:textId="77777777" w:rsidR="003073BF" w:rsidRDefault="003073BF" w:rsidP="003073BF">
      <w:r>
        <w:t>External Open-Source Engine or Model</w:t>
      </w:r>
    </w:p>
    <w:p w14:paraId="5EF2CBA2" w14:textId="77777777" w:rsidR="003073BF" w:rsidRDefault="003073BF" w:rsidP="003073BF"/>
    <w:p w14:paraId="4053C7E4" w14:textId="0C040E43" w:rsidR="003073BF" w:rsidRDefault="003073BF" w:rsidP="003073BF">
      <w:r>
        <w:t>External engines must not directly control:</w:t>
      </w:r>
    </w:p>
    <w:p w14:paraId="69283EA8" w14:textId="77777777" w:rsidR="003073BF" w:rsidRDefault="003073BF" w:rsidP="003073BF">
      <w:r>
        <w:t>- The MedNexus public API contract.</w:t>
      </w:r>
    </w:p>
    <w:p w14:paraId="47F8A226" w14:textId="77777777" w:rsidR="003073BF" w:rsidRDefault="003073BF" w:rsidP="003073BF">
      <w:r>
        <w:t>- Privacy policy selection or resolution.</w:t>
      </w:r>
    </w:p>
    <w:p w14:paraId="287173F5" w14:textId="77777777" w:rsidR="003073BF" w:rsidRDefault="003073BF" w:rsidP="003073BF">
      <w:r>
        <w:t>- The canonical MedNexus entity taxonomy.</w:t>
      </w:r>
    </w:p>
    <w:p w14:paraId="237A43EA" w14:textId="77777777" w:rsidR="003073BF" w:rsidRDefault="003073BF" w:rsidP="003073BF">
      <w:r>
        <w:t>- Final detection-merging and conflict-resolution decisions.</w:t>
      </w:r>
    </w:p>
    <w:p w14:paraId="248C2D8B" w14:textId="77777777" w:rsidR="003073BF" w:rsidRDefault="003073BF" w:rsidP="003073BF">
      <w:r>
        <w:t>- Audit and provenance requirements.</w:t>
      </w:r>
    </w:p>
    <w:p w14:paraId="30BBF68D" w14:textId="77777777" w:rsidR="003073BF" w:rsidRDefault="003073BF" w:rsidP="003073BF">
      <w:r>
        <w:t>- Model-routing decisions.</w:t>
      </w:r>
    </w:p>
    <w:p w14:paraId="35EE5CE2" w14:textId="77777777" w:rsidR="003073BF" w:rsidRDefault="003073BF" w:rsidP="003073BF">
      <w:r>
        <w:t>- Clinical validation gates.</w:t>
      </w:r>
    </w:p>
    <w:p w14:paraId="60B062DC" w14:textId="31DF4C27" w:rsidR="003073BF" w:rsidRDefault="003073BF" w:rsidP="003073BF">
      <w:r>
        <w:t>- Final release of protected or structured outputs.</w:t>
      </w:r>
    </w:p>
    <w:p w14:paraId="09CB5C95" w14:textId="12A3D2EB" w:rsidR="003073BF" w:rsidRDefault="003073BF" w:rsidP="003073BF">
      <w:r>
        <w:lastRenderedPageBreak/>
        <w:t>These responsibilities remain under MedNexus governance.</w:t>
      </w:r>
    </w:p>
    <w:p w14:paraId="6A8AE43F" w14:textId="77777777" w:rsidR="003073BF" w:rsidRDefault="003073BF" w:rsidP="003073BF">
      <w:pPr>
        <w:rPr>
          <w:rFonts w:asciiTheme="majorHAnsi" w:eastAsiaTheme="majorEastAsia" w:hAnsiTheme="majorHAnsi" w:cstheme="majorBidi"/>
          <w:b/>
          <w:bCs/>
          <w:color w:val="173768"/>
          <w:sz w:val="32"/>
        </w:rPr>
      </w:pPr>
    </w:p>
    <w:p w14:paraId="12D7669E" w14:textId="77777777" w:rsidR="003073BF" w:rsidRDefault="003073BF" w:rsidP="003073BF">
      <w:pPr>
        <w:rPr>
          <w:rFonts w:asciiTheme="majorHAnsi" w:eastAsiaTheme="majorEastAsia" w:hAnsiTheme="majorHAnsi" w:cstheme="majorBidi"/>
          <w:b/>
          <w:bCs/>
          <w:color w:val="173768"/>
          <w:sz w:val="32"/>
        </w:rPr>
      </w:pPr>
    </w:p>
    <w:p w14:paraId="22E902B0" w14:textId="6C8885F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14.4 No Copy-Paste Architecture</w:t>
      </w:r>
    </w:p>
    <w:p w14:paraId="35280F2D" w14:textId="4C87B137" w:rsidR="003073BF" w:rsidRDefault="003073BF" w:rsidP="003073BF">
      <w:r>
        <w:t>MedNexus will not reproduce external source code or project structures without an explicit engineering and licensing justification.</w:t>
      </w:r>
    </w:p>
    <w:p w14:paraId="5AAABDB6" w14:textId="0CA6613A" w:rsidR="003073BF" w:rsidRDefault="003073BF" w:rsidP="003073BF">
      <w:r>
        <w:t>The preferred approach is to study and extract:</w:t>
      </w:r>
    </w:p>
    <w:p w14:paraId="633CD5D8" w14:textId="77777777" w:rsidR="003073BF" w:rsidRDefault="003073BF" w:rsidP="003073BF">
      <w:r>
        <w:t>- Architectural patterns.</w:t>
      </w:r>
    </w:p>
    <w:p w14:paraId="2FE49A6F" w14:textId="77777777" w:rsidR="003073BF" w:rsidRDefault="003073BF" w:rsidP="003073BF">
      <w:r>
        <w:t>- Interface designs.</w:t>
      </w:r>
    </w:p>
    <w:p w14:paraId="70055B6E" w14:textId="77777777" w:rsidR="003073BF" w:rsidRDefault="003073BF" w:rsidP="003073BF">
      <w:r>
        <w:t>- Detection and anonymization strategies.</w:t>
      </w:r>
    </w:p>
    <w:p w14:paraId="18917344" w14:textId="77777777" w:rsidR="003073BF" w:rsidRDefault="003073BF" w:rsidP="003073BF">
      <w:r>
        <w:t>- Overlap-resolution techniques.</w:t>
      </w:r>
    </w:p>
    <w:p w14:paraId="1EFFA530" w14:textId="77777777" w:rsidR="003073BF" w:rsidRDefault="003073BF" w:rsidP="003073BF">
      <w:r>
        <w:t>- Context-validation methods.</w:t>
      </w:r>
    </w:p>
    <w:p w14:paraId="5070DFBA" w14:textId="77777777" w:rsidR="003073BF" w:rsidRDefault="003073BF" w:rsidP="003073BF">
      <w:r>
        <w:t>- Evaluation methodologies.</w:t>
      </w:r>
    </w:p>
    <w:p w14:paraId="65F87346" w14:textId="65ECA42B" w:rsidR="003073BF" w:rsidRDefault="003073BF" w:rsidP="003073BF">
      <w:r>
        <w:t>- Failure cases and implementation lessons.</w:t>
      </w:r>
    </w:p>
    <w:p w14:paraId="39124E13" w14:textId="4262E501" w:rsidR="003073BF" w:rsidRDefault="003073BF" w:rsidP="003073BF">
      <w:r>
        <w:t>Any adopted concept must be redesigned or integrated according to MedNexus requirements, contracts, terminology, security principles, and product roadmap.</w:t>
      </w:r>
    </w:p>
    <w:p w14:paraId="4AD66055" w14:textId="66F839F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14.5 Evaluation Before Integration</w:t>
      </w:r>
    </w:p>
    <w:p w14:paraId="6562541A" w14:textId="5BD4BA6E" w:rsidR="003073BF" w:rsidRDefault="003073BF" w:rsidP="003073BF">
      <w:r>
        <w:t>No external engine, model, library, or dataset becomes an approved MedNexus dependency until the following areas have been evaluated:</w:t>
      </w:r>
    </w:p>
    <w:p w14:paraId="08415A37" w14:textId="77777777" w:rsidR="003073BF" w:rsidRDefault="003073BF" w:rsidP="003073BF">
      <w:r>
        <w:t>1. License compatibility and redistribution restrictions.</w:t>
      </w:r>
    </w:p>
    <w:p w14:paraId="4E2EB19E" w14:textId="77777777" w:rsidR="003073BF" w:rsidRDefault="003073BF" w:rsidP="003073BF">
      <w:r>
        <w:t>2. Security posture and dependency exposure.</w:t>
      </w:r>
    </w:p>
    <w:p w14:paraId="7060D8BB" w14:textId="77777777" w:rsidR="003073BF" w:rsidRDefault="003073BF" w:rsidP="003073BF">
      <w:r>
        <w:t>3. On-premise and offline operational capability.</w:t>
      </w:r>
    </w:p>
    <w:p w14:paraId="4E677212" w14:textId="77777777" w:rsidR="003073BF" w:rsidRDefault="003073BF" w:rsidP="003073BF">
      <w:r>
        <w:t>4. Model and dataset provenance.</w:t>
      </w:r>
    </w:p>
    <w:p w14:paraId="71900B5B" w14:textId="77777777" w:rsidR="003073BF" w:rsidRDefault="003073BF" w:rsidP="003073BF">
      <w:r>
        <w:t>5. Supported task and entity taxonomy.</w:t>
      </w:r>
    </w:p>
    <w:p w14:paraId="3E1094B3" w14:textId="77777777" w:rsidR="003073BF" w:rsidRDefault="003073BF" w:rsidP="003073BF">
      <w:r>
        <w:t>6. Precision, recall, F1 score, and false-negative behavior.</w:t>
      </w:r>
    </w:p>
    <w:p w14:paraId="1D256D92" w14:textId="77777777" w:rsidR="003073BF" w:rsidRDefault="003073BF" w:rsidP="003073BF">
      <w:r>
        <w:t>7. False-positive impact on clinical content.</w:t>
      </w:r>
    </w:p>
    <w:p w14:paraId="3FE94C03" w14:textId="77777777" w:rsidR="003073BF" w:rsidRDefault="003073BF" w:rsidP="003073BF">
      <w:r>
        <w:t>8. CPU, GPU, memory, storage, and latency requirements.</w:t>
      </w:r>
    </w:p>
    <w:p w14:paraId="7415DDFD" w14:textId="77777777" w:rsidR="003073BF" w:rsidRDefault="003073BF" w:rsidP="003073BF">
      <w:r>
        <w:t>9. English, Arabic, and mixed-language suitability.</w:t>
      </w:r>
    </w:p>
    <w:p w14:paraId="05F21705" w14:textId="77777777" w:rsidR="003073BF" w:rsidRDefault="003073BF" w:rsidP="003073BF">
      <w:r>
        <w:lastRenderedPageBreak/>
        <w:t>10. Supported document domains and report structures.</w:t>
      </w:r>
    </w:p>
    <w:p w14:paraId="3369C1B5" w14:textId="77777777" w:rsidR="003073BF" w:rsidRDefault="003073BF" w:rsidP="003073BF">
      <w:r>
        <w:t>11. Project maintenance status and release activity.</w:t>
      </w:r>
    </w:p>
    <w:p w14:paraId="7B38FAA4" w14:textId="77777777" w:rsidR="003073BF" w:rsidRDefault="003073BF" w:rsidP="003073BF">
      <w:r>
        <w:t>12. Adapter proof of concept.</w:t>
      </w:r>
    </w:p>
    <w:p w14:paraId="53F46721" w14:textId="77777777" w:rsidR="003073BF" w:rsidRDefault="003073BF" w:rsidP="003073BF">
      <w:r>
        <w:t>13. Regression comparison against the current MedNexus baseline.</w:t>
      </w:r>
    </w:p>
    <w:p w14:paraId="490B70CF" w14:textId="0B00F7EA" w:rsidR="003073BF" w:rsidRDefault="003073BF" w:rsidP="003073BF">
      <w:r>
        <w:t>14. Clinical review and privacy acceptance where applicable.</w:t>
      </w:r>
    </w:p>
    <w:p w14:paraId="576A53D3" w14:textId="3F337957" w:rsidR="003073BF" w:rsidRDefault="003073BF" w:rsidP="003073BF">
      <w:r>
        <w:t>Approval must be evidence-based and recorded in the MedNexus technology and model evaluation records.</w:t>
      </w:r>
    </w:p>
    <w:p w14:paraId="22273E77" w14:textId="34C2D45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14.6 No Mid-Stage Technology Distraction</w:t>
      </w:r>
    </w:p>
    <w:p w14:paraId="0CBF5C7E" w14:textId="3624957A" w:rsidR="003073BF" w:rsidRDefault="003073BF" w:rsidP="00417AC3">
      <w:r>
        <w:t>The discovery of a promising open-source project must not interrupt an active MedNexus development stage unless it is required to resolve a critical blocker.</w:t>
      </w:r>
    </w:p>
    <w:p w14:paraId="14B5F075" w14:textId="34873A78" w:rsidR="003073BF" w:rsidRDefault="003073BF" w:rsidP="00417AC3">
      <w:r>
        <w:t>External technology evaluation will be performed at defined roadmap gates.</w:t>
      </w:r>
    </w:p>
    <w:p w14:paraId="17DF4383" w14:textId="42DADC91" w:rsidR="003073BF" w:rsidRDefault="003073BF" w:rsidP="00417AC3">
      <w:r>
        <w:t>New tools and models will be placed in the Technology Evaluation Backlog and reviewed when their capabilities become relevant to the current MedNexus stage.</w:t>
      </w:r>
    </w:p>
    <w:p w14:paraId="54737FB9" w14:textId="614C91BF" w:rsidR="003073BF" w:rsidRDefault="003073BF" w:rsidP="00417AC3">
      <w:r>
        <w:t>This principle prevents architectural drift, uncontrolled experimentation, and incomplete delivery of active stages.</w:t>
      </w:r>
    </w:p>
    <w:p w14:paraId="54B928E4" w14:textId="51803BE1" w:rsidR="003073BF" w:rsidRPr="00417AC3" w:rsidRDefault="003073BF" w:rsidP="00417AC3">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14.7 Initial Technology Evaluation Backlog</w:t>
      </w:r>
    </w:p>
    <w:p w14:paraId="06454797" w14:textId="3F860B5E" w:rsidR="003073BF" w:rsidRDefault="003073BF" w:rsidP="00417AC3">
      <w:r>
        <w:t>The initial MedNexus technology evaluation backlog includes:</w:t>
      </w:r>
    </w:p>
    <w:p w14:paraId="3F3F9CAC" w14:textId="146EECD1" w:rsidR="003073BF" w:rsidRPr="00417AC3" w:rsidRDefault="003073BF" w:rsidP="00417AC3">
      <w:pPr>
        <w:rPr>
          <w:b/>
          <w:bCs/>
          <w:color w:val="EE0000"/>
        </w:rPr>
      </w:pPr>
      <w:r w:rsidRPr="00417AC3">
        <w:rPr>
          <w:b/>
          <w:bCs/>
          <w:color w:val="EE0000"/>
        </w:rPr>
        <w:t>Presidio</w:t>
      </w:r>
    </w:p>
    <w:p w14:paraId="066A5505" w14:textId="77777777" w:rsidR="003073BF" w:rsidRDefault="003073BF" w:rsidP="003073BF">
      <w:r>
        <w:t>Primary role:</w:t>
      </w:r>
    </w:p>
    <w:p w14:paraId="6278BC5B" w14:textId="7E7FD554" w:rsidR="003073BF" w:rsidRDefault="003073BF" w:rsidP="00417AC3">
      <w:r>
        <w:t>Reference implementation and potential candidate engine.</w:t>
      </w:r>
    </w:p>
    <w:p w14:paraId="4CDEE8BE" w14:textId="77777777" w:rsidR="003073BF" w:rsidRDefault="003073BF" w:rsidP="003073BF">
      <w:r>
        <w:t>Planned areas of study:</w:t>
      </w:r>
    </w:p>
    <w:p w14:paraId="1F91E2FE" w14:textId="284945C0" w:rsidR="003073BF" w:rsidRDefault="003073BF" w:rsidP="00AE45BA">
      <w:r>
        <w:t>Detection and anonymization separation, recognizer architecture, extensibility, confidence scoring, context enhancement, anonymization operators, and overlap behavior.</w:t>
      </w:r>
    </w:p>
    <w:p w14:paraId="4FC136BD" w14:textId="77777777" w:rsidR="00AE45BA" w:rsidRDefault="00AE45BA" w:rsidP="00AE45BA"/>
    <w:p w14:paraId="25D0684C" w14:textId="1E05AD4B" w:rsidR="003073BF" w:rsidRPr="00AE45BA" w:rsidRDefault="003073BF" w:rsidP="00AE45BA">
      <w:pPr>
        <w:rPr>
          <w:b/>
          <w:bCs/>
          <w:color w:val="EE0000"/>
        </w:rPr>
      </w:pPr>
      <w:r w:rsidRPr="00AE45BA">
        <w:rPr>
          <w:b/>
          <w:bCs/>
          <w:color w:val="EE0000"/>
        </w:rPr>
        <w:t>medspaCy</w:t>
      </w:r>
    </w:p>
    <w:p w14:paraId="473DED2C" w14:textId="77777777" w:rsidR="003073BF" w:rsidRDefault="003073BF" w:rsidP="003073BF">
      <w:r>
        <w:t>Primary role:</w:t>
      </w:r>
    </w:p>
    <w:p w14:paraId="4E3BB697" w14:textId="5AD5E837" w:rsidR="003073BF" w:rsidRDefault="003073BF" w:rsidP="00AE45BA">
      <w:r>
        <w:t>Reference implementation and potential Clinical NLP component.</w:t>
      </w:r>
    </w:p>
    <w:p w14:paraId="63D8AD26" w14:textId="77777777" w:rsidR="003073BF" w:rsidRDefault="003073BF" w:rsidP="003073BF">
      <w:r>
        <w:t>Planned areas of study:</w:t>
      </w:r>
    </w:p>
    <w:p w14:paraId="2384C6C9" w14:textId="5B3A7B3E" w:rsidR="003073BF" w:rsidRDefault="003073BF" w:rsidP="00AE45BA">
      <w:r>
        <w:t>Section detection, clinical context, negation, temporality, experiencer, sentence segmentation, rule-based clinical extraction, and spaCy pipeline integration.</w:t>
      </w:r>
    </w:p>
    <w:p w14:paraId="18C46E8B" w14:textId="77777777" w:rsidR="00AE45BA" w:rsidRDefault="00AE45BA" w:rsidP="00AE45BA"/>
    <w:p w14:paraId="79229367" w14:textId="77777777" w:rsidR="00AE45BA" w:rsidRDefault="00AE45BA" w:rsidP="00AE45BA"/>
    <w:p w14:paraId="7BD62C8F" w14:textId="77777777" w:rsidR="00AE45BA" w:rsidRDefault="00AE45BA" w:rsidP="00AE45BA"/>
    <w:p w14:paraId="3EC42067" w14:textId="77777777" w:rsidR="00AE45BA" w:rsidRDefault="00AE45BA" w:rsidP="00AE45BA"/>
    <w:p w14:paraId="7A5E41C0" w14:textId="051BEBE2" w:rsidR="003073BF" w:rsidRPr="00AE45BA" w:rsidRDefault="003073BF" w:rsidP="00AE45BA">
      <w:pPr>
        <w:rPr>
          <w:b/>
          <w:bCs/>
          <w:color w:val="EE0000"/>
        </w:rPr>
      </w:pPr>
      <w:r w:rsidRPr="00AE45BA">
        <w:rPr>
          <w:b/>
          <w:bCs/>
          <w:color w:val="EE0000"/>
        </w:rPr>
        <w:t>UCSF Philter</w:t>
      </w:r>
    </w:p>
    <w:p w14:paraId="0D0D6341" w14:textId="77777777" w:rsidR="003073BF" w:rsidRDefault="003073BF" w:rsidP="003073BF">
      <w:r>
        <w:t>Primary role:</w:t>
      </w:r>
    </w:p>
    <w:p w14:paraId="488DE9E3" w14:textId="1B34F620" w:rsidR="003073BF" w:rsidRDefault="003073BF" w:rsidP="00AE45BA">
      <w:r>
        <w:t>Research reference and benchmark comparator.</w:t>
      </w:r>
    </w:p>
    <w:p w14:paraId="07527512" w14:textId="77777777" w:rsidR="003073BF" w:rsidRDefault="003073BF" w:rsidP="003073BF">
      <w:r>
        <w:t>Planned areas of study:</w:t>
      </w:r>
    </w:p>
    <w:p w14:paraId="0161F195" w14:textId="77777777" w:rsidR="003073BF" w:rsidRDefault="003073BF" w:rsidP="003073BF">
      <w:r>
        <w:t>Clinical PHI detection methods, filtering strategies, configurable patterns, and published evaluation methodology.</w:t>
      </w:r>
    </w:p>
    <w:p w14:paraId="257DA3E4" w14:textId="77777777" w:rsidR="003073BF" w:rsidRDefault="003073BF" w:rsidP="003073BF"/>
    <w:p w14:paraId="42E616C5" w14:textId="4FE3BD3F" w:rsidR="003073BF" w:rsidRPr="00AE45BA" w:rsidRDefault="003073BF" w:rsidP="00AE45BA">
      <w:pPr>
        <w:rPr>
          <w:b/>
          <w:bCs/>
          <w:color w:val="EE0000"/>
        </w:rPr>
      </w:pPr>
      <w:r w:rsidRPr="00AE45BA">
        <w:rPr>
          <w:b/>
          <w:bCs/>
          <w:color w:val="EE0000"/>
        </w:rPr>
        <w:t>Philter by philterd</w:t>
      </w:r>
    </w:p>
    <w:p w14:paraId="1004602E" w14:textId="77777777" w:rsidR="003073BF" w:rsidRDefault="003073BF" w:rsidP="003073BF">
      <w:r>
        <w:t>Primary role:</w:t>
      </w:r>
    </w:p>
    <w:p w14:paraId="4AFCF97C" w14:textId="6EDFF91E" w:rsidR="003073BF" w:rsidRDefault="003073BF" w:rsidP="00AE45BA">
      <w:r>
        <w:t>Product and deployment reference.</w:t>
      </w:r>
    </w:p>
    <w:p w14:paraId="65FBE622" w14:textId="77777777" w:rsidR="003073BF" w:rsidRDefault="003073BF" w:rsidP="003073BF">
      <w:r>
        <w:t>Planned areas of study:</w:t>
      </w:r>
    </w:p>
    <w:p w14:paraId="0BB88943" w14:textId="77777777" w:rsidR="003073BF" w:rsidRDefault="003073BF" w:rsidP="003073BF">
      <w:r>
        <w:t>Privacy profiles, API deployment, configuration, self-hosting, and operational product design.</w:t>
      </w:r>
    </w:p>
    <w:p w14:paraId="417679D3" w14:textId="77777777" w:rsidR="003073BF" w:rsidRDefault="003073BF" w:rsidP="003073BF"/>
    <w:p w14:paraId="3862ED18" w14:textId="098711FD" w:rsidR="003073BF" w:rsidRPr="00AE45BA" w:rsidRDefault="003073BF" w:rsidP="00AE45BA">
      <w:pPr>
        <w:rPr>
          <w:b/>
          <w:bCs/>
          <w:color w:val="EE0000"/>
        </w:rPr>
      </w:pPr>
      <w:r w:rsidRPr="00AE45BA">
        <w:rPr>
          <w:b/>
          <w:bCs/>
          <w:color w:val="EE0000"/>
        </w:rPr>
        <w:t>Hugging Face PHI and Clinical NER Models</w:t>
      </w:r>
    </w:p>
    <w:p w14:paraId="462E796D" w14:textId="77777777" w:rsidR="003073BF" w:rsidRDefault="003073BF" w:rsidP="003073BF">
      <w:r>
        <w:t>Primary role:</w:t>
      </w:r>
    </w:p>
    <w:p w14:paraId="7989999C" w14:textId="1DC9C704" w:rsidR="003073BF" w:rsidRDefault="003073BF" w:rsidP="00AE45BA">
      <w:r>
        <w:t>Candidate detection engines.</w:t>
      </w:r>
    </w:p>
    <w:p w14:paraId="2ED6DC66" w14:textId="77777777" w:rsidR="003073BF" w:rsidRDefault="003073BF" w:rsidP="003073BF">
      <w:r>
        <w:t>Planned areas of study:</w:t>
      </w:r>
    </w:p>
    <w:p w14:paraId="2CC036CC" w14:textId="60E4AF74" w:rsidR="003073BF" w:rsidRDefault="003073BF" w:rsidP="00AE45BA">
      <w:r>
        <w:t>Model task, label taxonomy, training data, license, model card, clinical-domain suitability, offline operation, hardware requirements, and benchmark performance.</w:t>
      </w:r>
    </w:p>
    <w:p w14:paraId="6502EDEC" w14:textId="77777777" w:rsidR="003073BF" w:rsidRDefault="003073BF" w:rsidP="003073BF">
      <w:r>
        <w:t>Clinical or medical base models must not be treated as de-identification engines unless they have been trained and validated for the required PHI detection task.</w:t>
      </w:r>
    </w:p>
    <w:p w14:paraId="3C6E7151" w14:textId="77777777" w:rsidR="003073BF" w:rsidRDefault="003073BF" w:rsidP="003073BF"/>
    <w:p w14:paraId="74CE1982" w14:textId="6B2BF6A6" w:rsidR="003073BF" w:rsidRPr="00AE45BA" w:rsidRDefault="003073BF" w:rsidP="00AE45BA">
      <w:pPr>
        <w:rPr>
          <w:b/>
          <w:bCs/>
          <w:color w:val="EE0000"/>
        </w:rPr>
      </w:pPr>
      <w:r w:rsidRPr="00AE45BA">
        <w:rPr>
          <w:b/>
          <w:bCs/>
          <w:color w:val="EE0000"/>
        </w:rPr>
        <w:t>NLM-Scrubber</w:t>
      </w:r>
    </w:p>
    <w:p w14:paraId="21B58F3B" w14:textId="77777777" w:rsidR="003073BF" w:rsidRDefault="003073BF" w:rsidP="003073BF">
      <w:r>
        <w:t>Primary role:</w:t>
      </w:r>
    </w:p>
    <w:p w14:paraId="5CB26ADC" w14:textId="10A22509" w:rsidR="003073BF" w:rsidRDefault="003073BF" w:rsidP="00AE45BA">
      <w:r>
        <w:t>Benchmark and evaluation-methodology reference.</w:t>
      </w:r>
    </w:p>
    <w:p w14:paraId="43BA6465" w14:textId="77777777" w:rsidR="003073BF" w:rsidRDefault="003073BF" w:rsidP="003073BF">
      <w:r>
        <w:lastRenderedPageBreak/>
        <w:t>Planned areas of study:</w:t>
      </w:r>
    </w:p>
    <w:p w14:paraId="60AA54CD" w14:textId="77777777" w:rsidR="003073BF" w:rsidRDefault="003073BF" w:rsidP="003073BF">
      <w:r>
        <w:t>Privacy metrics, Safe Harbor coverage, false-positive and false-negative analysis, clinical-content preservation, and benchmark design.</w:t>
      </w:r>
    </w:p>
    <w:p w14:paraId="01841BB6" w14:textId="77777777" w:rsidR="003073BF" w:rsidRDefault="003073BF" w:rsidP="003073BF"/>
    <w:p w14:paraId="64D9D7FD" w14:textId="77777777" w:rsidR="00AE45BA" w:rsidRDefault="00AE45BA" w:rsidP="003073BF"/>
    <w:p w14:paraId="4480E9D1" w14:textId="0887DB00" w:rsidR="003073BF" w:rsidRPr="00AE45BA" w:rsidRDefault="003073BF" w:rsidP="00AE45BA">
      <w:pPr>
        <w:rPr>
          <w:b/>
          <w:bCs/>
          <w:color w:val="EE0000"/>
        </w:rPr>
      </w:pPr>
      <w:r w:rsidRPr="00AE45BA">
        <w:rPr>
          <w:b/>
          <w:bCs/>
          <w:color w:val="EE0000"/>
        </w:rPr>
        <w:t>i2b2 and n2c2 Datasets</w:t>
      </w:r>
    </w:p>
    <w:p w14:paraId="2096C53A" w14:textId="77777777" w:rsidR="003073BF" w:rsidRDefault="003073BF" w:rsidP="003073BF">
      <w:r>
        <w:t>Primary role:</w:t>
      </w:r>
    </w:p>
    <w:p w14:paraId="043F779B" w14:textId="5EE95069" w:rsidR="003073BF" w:rsidRDefault="003073BF" w:rsidP="00AE45BA">
      <w:r>
        <w:t>Controlled external benchmark datasets.</w:t>
      </w:r>
    </w:p>
    <w:p w14:paraId="11DC3035" w14:textId="77777777" w:rsidR="003073BF" w:rsidRDefault="003073BF" w:rsidP="003073BF">
      <w:r>
        <w:t>Conditions:</w:t>
      </w:r>
    </w:p>
    <w:p w14:paraId="65FEEADD" w14:textId="37BEBBF0" w:rsidR="003073BF" w:rsidRDefault="003073BF" w:rsidP="00AE45BA">
      <w:r>
        <w:t>Use requires appropriate access approval, data-use agreements, security controls, and compliance with redistribution restrictions.</w:t>
      </w:r>
    </w:p>
    <w:p w14:paraId="7F851399" w14:textId="77777777" w:rsidR="003073BF" w:rsidRDefault="003073BF" w:rsidP="003073BF">
      <w:r>
        <w:t>These datasets must not be uploaded to public repositories or redistributed as MedNexus project assets.</w:t>
      </w:r>
    </w:p>
    <w:p w14:paraId="2F4DC354" w14:textId="77777777" w:rsidR="003073BF" w:rsidRDefault="003073BF" w:rsidP="003073BF"/>
    <w:p w14:paraId="40EF62E8" w14:textId="2B3CC054" w:rsidR="003073BF" w:rsidRPr="00AE45BA" w:rsidRDefault="003073BF" w:rsidP="00AE45BA">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14.8 Multi-Layer Benchmark Strategy</w:t>
      </w:r>
    </w:p>
    <w:p w14:paraId="63508139" w14:textId="54AB1DB2" w:rsidR="003073BF" w:rsidRDefault="003073BF" w:rsidP="00AE45BA">
      <w:r>
        <w:t>MedNexus will not depend on a single benchmark source.</w:t>
      </w:r>
    </w:p>
    <w:p w14:paraId="4AA6C1B3" w14:textId="439F24EF" w:rsidR="003073BF" w:rsidRDefault="003073BF" w:rsidP="00AE45BA">
      <w:r>
        <w:t>The planned validation corpus will include:</w:t>
      </w:r>
    </w:p>
    <w:p w14:paraId="7A61C61E" w14:textId="77777777" w:rsidR="003073BF" w:rsidRDefault="003073BF" w:rsidP="003073BF">
      <w:r>
        <w:t>- MedNexus synthetic golden medical reports.</w:t>
      </w:r>
    </w:p>
    <w:p w14:paraId="13FA61CA" w14:textId="77777777" w:rsidR="003073BF" w:rsidRDefault="003073BF" w:rsidP="003073BF">
      <w:r>
        <w:t>- Approved and licensed external datasets such as i2b2 or n2c2 where available.</w:t>
      </w:r>
    </w:p>
    <w:p w14:paraId="078643A6" w14:textId="77777777" w:rsidR="003073BF" w:rsidRDefault="003073BF" w:rsidP="003073BF">
      <w:r>
        <w:t>- Institution-specific de-identified or appropriately governed validation documents.</w:t>
      </w:r>
    </w:p>
    <w:p w14:paraId="44DDF2CC" w14:textId="77777777" w:rsidR="003073BF" w:rsidRDefault="003073BF" w:rsidP="003073BF">
      <w:r>
        <w:t>- Arabic clinical documents.</w:t>
      </w:r>
    </w:p>
    <w:p w14:paraId="11B85E7E" w14:textId="77777777" w:rsidR="003073BF" w:rsidRDefault="003073BF" w:rsidP="003073BF">
      <w:r>
        <w:t>- Mixed Arabic and English clinical documents.</w:t>
      </w:r>
    </w:p>
    <w:p w14:paraId="51AC9734" w14:textId="4B58B48C" w:rsidR="003073BF" w:rsidRDefault="003073BF" w:rsidP="00AE45BA">
      <w:r>
        <w:t>- Multiple document domains including radiology, laboratory, pathology, emergency, discharge, referral, operative, admission, and public-health documents.</w:t>
      </w:r>
    </w:p>
    <w:p w14:paraId="1D06614C" w14:textId="65317876" w:rsidR="003073BF" w:rsidRDefault="003073BF" w:rsidP="003073BF">
      <w:r>
        <w:t>External benchmark results must be interpreted in the context of language, country, institution, document type, and local HIS conventions.</w:t>
      </w:r>
    </w:p>
    <w:p w14:paraId="770CDACE" w14:textId="77777777" w:rsidR="00632D2B" w:rsidRDefault="00000000">
      <w:pPr>
        <w:pStyle w:val="Heading1"/>
      </w:pPr>
      <w:r>
        <w:t>15. Testing and Validation Strategy</w:t>
      </w:r>
    </w:p>
    <w:p w14:paraId="4332FFE1" w14:textId="77777777" w:rsidR="00632D2B" w:rsidRDefault="00000000">
      <w:pPr>
        <w:pStyle w:val="Heading2"/>
      </w:pPr>
      <w:r>
        <w:t>15.1 Test Levels</w:t>
      </w:r>
    </w:p>
    <w:tbl>
      <w:tblPr>
        <w:tblStyle w:val="TableGrid"/>
        <w:tblW w:w="0" w:type="auto"/>
        <w:jc w:val="center"/>
        <w:tblLook w:val="04A0" w:firstRow="1" w:lastRow="0" w:firstColumn="1" w:lastColumn="0" w:noHBand="0" w:noVBand="1"/>
      </w:tblPr>
      <w:tblGrid>
        <w:gridCol w:w="5040"/>
        <w:gridCol w:w="5040"/>
      </w:tblGrid>
      <w:tr w:rsidR="00632D2B" w14:paraId="78037624" w14:textId="77777777">
        <w:trPr>
          <w:jc w:val="center"/>
        </w:trPr>
        <w:tc>
          <w:tcPr>
            <w:tcW w:w="5040" w:type="dxa"/>
            <w:shd w:val="clear" w:color="auto" w:fill="173768"/>
            <w:vAlign w:val="center"/>
          </w:tcPr>
          <w:p w14:paraId="168F3C13" w14:textId="77777777" w:rsidR="00632D2B" w:rsidRDefault="00000000">
            <w:r>
              <w:rPr>
                <w:b/>
                <w:color w:val="FFFFFF"/>
                <w:sz w:val="18"/>
              </w:rPr>
              <w:t>Level</w:t>
            </w:r>
          </w:p>
        </w:tc>
        <w:tc>
          <w:tcPr>
            <w:tcW w:w="5040" w:type="dxa"/>
            <w:shd w:val="clear" w:color="auto" w:fill="173768"/>
            <w:vAlign w:val="center"/>
          </w:tcPr>
          <w:p w14:paraId="10005682" w14:textId="77777777" w:rsidR="00632D2B" w:rsidRDefault="00000000">
            <w:r>
              <w:rPr>
                <w:b/>
                <w:color w:val="FFFFFF"/>
                <w:sz w:val="18"/>
              </w:rPr>
              <w:t>Purpose</w:t>
            </w:r>
          </w:p>
        </w:tc>
      </w:tr>
      <w:tr w:rsidR="00632D2B" w14:paraId="031674AB" w14:textId="77777777">
        <w:trPr>
          <w:jc w:val="center"/>
        </w:trPr>
        <w:tc>
          <w:tcPr>
            <w:tcW w:w="5040" w:type="dxa"/>
            <w:vAlign w:val="center"/>
          </w:tcPr>
          <w:p w14:paraId="37D836C5" w14:textId="77777777" w:rsidR="00632D2B" w:rsidRDefault="00000000">
            <w:r>
              <w:rPr>
                <w:sz w:val="18"/>
              </w:rPr>
              <w:t>Unit Tests</w:t>
            </w:r>
          </w:p>
        </w:tc>
        <w:tc>
          <w:tcPr>
            <w:tcW w:w="5040" w:type="dxa"/>
            <w:vAlign w:val="center"/>
          </w:tcPr>
          <w:p w14:paraId="7CB9E86C" w14:textId="77777777" w:rsidR="00632D2B" w:rsidRDefault="00000000">
            <w:r>
              <w:rPr>
                <w:sz w:val="18"/>
              </w:rPr>
              <w:t>Validate individual detectors, policies, transformers, parsers, adapters, and schemas.</w:t>
            </w:r>
          </w:p>
        </w:tc>
      </w:tr>
      <w:tr w:rsidR="00632D2B" w14:paraId="06C26413" w14:textId="77777777">
        <w:trPr>
          <w:jc w:val="center"/>
        </w:trPr>
        <w:tc>
          <w:tcPr>
            <w:tcW w:w="5040" w:type="dxa"/>
            <w:shd w:val="clear" w:color="auto" w:fill="F3F6FA"/>
            <w:vAlign w:val="center"/>
          </w:tcPr>
          <w:p w14:paraId="0F867A4C" w14:textId="77777777" w:rsidR="00632D2B" w:rsidRDefault="00000000">
            <w:r>
              <w:rPr>
                <w:sz w:val="18"/>
              </w:rPr>
              <w:lastRenderedPageBreak/>
              <w:t>Contract Tests</w:t>
            </w:r>
          </w:p>
        </w:tc>
        <w:tc>
          <w:tcPr>
            <w:tcW w:w="5040" w:type="dxa"/>
            <w:shd w:val="clear" w:color="auto" w:fill="F3F6FA"/>
            <w:vAlign w:val="center"/>
          </w:tcPr>
          <w:p w14:paraId="350E759A" w14:textId="77777777" w:rsidR="00632D2B" w:rsidRDefault="00000000">
            <w:r>
              <w:rPr>
                <w:sz w:val="18"/>
              </w:rPr>
              <w:t>Ensure all engines and detectors comply with MedNexus interfaces.</w:t>
            </w:r>
          </w:p>
        </w:tc>
      </w:tr>
      <w:tr w:rsidR="00632D2B" w14:paraId="4290A088" w14:textId="77777777">
        <w:trPr>
          <w:jc w:val="center"/>
        </w:trPr>
        <w:tc>
          <w:tcPr>
            <w:tcW w:w="5040" w:type="dxa"/>
            <w:vAlign w:val="center"/>
          </w:tcPr>
          <w:p w14:paraId="6A85D92F" w14:textId="77777777" w:rsidR="00632D2B" w:rsidRDefault="00000000">
            <w:r>
              <w:rPr>
                <w:sz w:val="18"/>
              </w:rPr>
              <w:t>Pipeline Integration Tests</w:t>
            </w:r>
          </w:p>
        </w:tc>
        <w:tc>
          <w:tcPr>
            <w:tcW w:w="5040" w:type="dxa"/>
            <w:vAlign w:val="center"/>
          </w:tcPr>
          <w:p w14:paraId="2BE9C754" w14:textId="77777777" w:rsidR="00632D2B" w:rsidRDefault="00000000">
            <w:r>
              <w:rPr>
                <w:sz w:val="18"/>
              </w:rPr>
              <w:t>Validate complete text/document processing without relying on UI behavior.</w:t>
            </w:r>
          </w:p>
        </w:tc>
      </w:tr>
      <w:tr w:rsidR="00632D2B" w14:paraId="48A8D3C9" w14:textId="77777777">
        <w:trPr>
          <w:jc w:val="center"/>
        </w:trPr>
        <w:tc>
          <w:tcPr>
            <w:tcW w:w="5040" w:type="dxa"/>
            <w:shd w:val="clear" w:color="auto" w:fill="F3F6FA"/>
            <w:vAlign w:val="center"/>
          </w:tcPr>
          <w:p w14:paraId="416B5208" w14:textId="77777777" w:rsidR="00632D2B" w:rsidRDefault="00000000">
            <w:r>
              <w:rPr>
                <w:sz w:val="18"/>
              </w:rPr>
              <w:t>Golden Document Tests</w:t>
            </w:r>
          </w:p>
        </w:tc>
        <w:tc>
          <w:tcPr>
            <w:tcW w:w="5040" w:type="dxa"/>
            <w:shd w:val="clear" w:color="auto" w:fill="F3F6FA"/>
            <w:vAlign w:val="center"/>
          </w:tcPr>
          <w:p w14:paraId="4D36C177" w14:textId="77777777" w:rsidR="00632D2B" w:rsidRDefault="00000000">
            <w:r>
              <w:rPr>
                <w:sz w:val="18"/>
              </w:rPr>
              <w:t>Compare expected spans, entities, transformations, and structured outputs for fixed reports.</w:t>
            </w:r>
          </w:p>
        </w:tc>
      </w:tr>
      <w:tr w:rsidR="00632D2B" w14:paraId="7F718CD5" w14:textId="77777777">
        <w:trPr>
          <w:jc w:val="center"/>
        </w:trPr>
        <w:tc>
          <w:tcPr>
            <w:tcW w:w="5040" w:type="dxa"/>
            <w:vAlign w:val="center"/>
          </w:tcPr>
          <w:p w14:paraId="0FD1B2E5" w14:textId="77777777" w:rsidR="00632D2B" w:rsidRDefault="00000000">
            <w:r>
              <w:rPr>
                <w:sz w:val="18"/>
              </w:rPr>
              <w:t>Benchmark Evaluation</w:t>
            </w:r>
          </w:p>
        </w:tc>
        <w:tc>
          <w:tcPr>
            <w:tcW w:w="5040" w:type="dxa"/>
            <w:vAlign w:val="center"/>
          </w:tcPr>
          <w:p w14:paraId="7AC8ABBE" w14:textId="77777777" w:rsidR="00632D2B" w:rsidRDefault="00000000">
            <w:r>
              <w:rPr>
                <w:sz w:val="18"/>
              </w:rPr>
              <w:t>Measure precision, recall, F1, false-negative rate, false-positive rate, latency, and memory.</w:t>
            </w:r>
          </w:p>
        </w:tc>
      </w:tr>
      <w:tr w:rsidR="00632D2B" w14:paraId="3B1A2FAD" w14:textId="77777777">
        <w:trPr>
          <w:jc w:val="center"/>
        </w:trPr>
        <w:tc>
          <w:tcPr>
            <w:tcW w:w="5040" w:type="dxa"/>
            <w:shd w:val="clear" w:color="auto" w:fill="F3F6FA"/>
            <w:vAlign w:val="center"/>
          </w:tcPr>
          <w:p w14:paraId="4234CE7A" w14:textId="77777777" w:rsidR="00632D2B" w:rsidRDefault="00000000">
            <w:r>
              <w:rPr>
                <w:sz w:val="18"/>
              </w:rPr>
              <w:t>Regression Tests</w:t>
            </w:r>
          </w:p>
        </w:tc>
        <w:tc>
          <w:tcPr>
            <w:tcW w:w="5040" w:type="dxa"/>
            <w:shd w:val="clear" w:color="auto" w:fill="F3F6FA"/>
            <w:vAlign w:val="center"/>
          </w:tcPr>
          <w:p w14:paraId="7EE1E4F9" w14:textId="77777777" w:rsidR="00632D2B" w:rsidRDefault="00000000">
            <w:r>
              <w:rPr>
                <w:sz w:val="18"/>
              </w:rPr>
              <w:t>Ensure a fix for one report does not damage other document domains.</w:t>
            </w:r>
          </w:p>
        </w:tc>
      </w:tr>
      <w:tr w:rsidR="00632D2B" w14:paraId="4EFDDCA3" w14:textId="77777777">
        <w:trPr>
          <w:jc w:val="center"/>
        </w:trPr>
        <w:tc>
          <w:tcPr>
            <w:tcW w:w="5040" w:type="dxa"/>
            <w:vAlign w:val="center"/>
          </w:tcPr>
          <w:p w14:paraId="76A3C634" w14:textId="77777777" w:rsidR="00632D2B" w:rsidRDefault="00000000">
            <w:r>
              <w:rPr>
                <w:sz w:val="18"/>
              </w:rPr>
              <w:t>Clinical Review</w:t>
            </w:r>
          </w:p>
        </w:tc>
        <w:tc>
          <w:tcPr>
            <w:tcW w:w="5040" w:type="dxa"/>
            <w:vAlign w:val="center"/>
          </w:tcPr>
          <w:p w14:paraId="03F7A83D" w14:textId="77777777" w:rsidR="00632D2B" w:rsidRDefault="00000000">
            <w:r>
              <w:rPr>
                <w:sz w:val="18"/>
              </w:rPr>
              <w:t>Expert review of clinically meaningful errors and preservation of medical content.</w:t>
            </w:r>
          </w:p>
        </w:tc>
      </w:tr>
      <w:tr w:rsidR="00632D2B" w14:paraId="2B4669C0" w14:textId="77777777">
        <w:trPr>
          <w:jc w:val="center"/>
        </w:trPr>
        <w:tc>
          <w:tcPr>
            <w:tcW w:w="5040" w:type="dxa"/>
            <w:shd w:val="clear" w:color="auto" w:fill="F3F6FA"/>
            <w:vAlign w:val="center"/>
          </w:tcPr>
          <w:p w14:paraId="7C06470E" w14:textId="77777777" w:rsidR="00632D2B" w:rsidRDefault="00000000">
            <w:r>
              <w:rPr>
                <w:sz w:val="18"/>
              </w:rPr>
              <w:t>Security and Privacy Tests</w:t>
            </w:r>
          </w:p>
        </w:tc>
        <w:tc>
          <w:tcPr>
            <w:tcW w:w="5040" w:type="dxa"/>
            <w:shd w:val="clear" w:color="auto" w:fill="F3F6FA"/>
            <w:vAlign w:val="center"/>
          </w:tcPr>
          <w:p w14:paraId="17E0EF3B" w14:textId="77777777" w:rsidR="00632D2B" w:rsidRDefault="00000000">
            <w:r>
              <w:rPr>
                <w:sz w:val="18"/>
              </w:rPr>
              <w:t>Verify no sensitive entity leaks under declared policy thresholds.</w:t>
            </w:r>
          </w:p>
        </w:tc>
      </w:tr>
    </w:tbl>
    <w:p w14:paraId="4753B0E2" w14:textId="77777777" w:rsidR="00632D2B" w:rsidRDefault="00632D2B"/>
    <w:p w14:paraId="70B5A88A" w14:textId="77777777" w:rsidR="00632D2B" w:rsidRDefault="00000000">
      <w:pPr>
        <w:pStyle w:val="Heading2"/>
      </w:pPr>
      <w:r>
        <w:t>15.2 De-identification Acceptance</w:t>
      </w:r>
    </w:p>
    <w:p w14:paraId="040F9931" w14:textId="77777777" w:rsidR="00632D2B" w:rsidRDefault="00000000">
      <w:r>
        <w:t>A report is not simply PASS or FAIL based on visual inspection. Each benchmark must record expected entities, detected entities, missed identifiers, false positives, transformations, policy, engine/model version, and processing time. Privacy-critical false negatives require explicit tracking and may trigger manual review even when aggregate accuracy is high.</w:t>
      </w:r>
    </w:p>
    <w:p w14:paraId="6574A55F" w14:textId="77777777" w:rsidR="00632D2B" w:rsidRDefault="00000000">
      <w:pPr>
        <w:pStyle w:val="Heading1"/>
      </w:pPr>
      <w:r>
        <w:t>16. Security, Privacy, and Deployment Principles</w:t>
      </w:r>
    </w:p>
    <w:p w14:paraId="46F90CAC" w14:textId="77777777" w:rsidR="00632D2B" w:rsidRDefault="00000000">
      <w:pPr>
        <w:pStyle w:val="ListBullet"/>
      </w:pPr>
      <w:r>
        <w:t>On-premise and offline operation remain first-class deployment targets.</w:t>
      </w:r>
    </w:p>
    <w:p w14:paraId="5B67F02F" w14:textId="77777777" w:rsidR="00632D2B" w:rsidRDefault="00000000">
      <w:pPr>
        <w:pStyle w:val="ListBullet"/>
      </w:pPr>
      <w:r>
        <w:t>Original documents and identity mappings must be separated by access policy.</w:t>
      </w:r>
    </w:p>
    <w:p w14:paraId="3D7622C7" w14:textId="77777777" w:rsidR="00632D2B" w:rsidRDefault="00000000">
      <w:pPr>
        <w:pStyle w:val="ListBullet"/>
      </w:pPr>
      <w:r>
        <w:t>All processing actions require audit events and model/version provenance.</w:t>
      </w:r>
    </w:p>
    <w:p w14:paraId="7820EEC0" w14:textId="77777777" w:rsidR="00632D2B" w:rsidRDefault="00000000">
      <w:pPr>
        <w:pStyle w:val="ListBullet"/>
      </w:pPr>
      <w:r>
        <w:t>External network access by models must be disabled or explicitly governed in protected deployments.</w:t>
      </w:r>
    </w:p>
    <w:p w14:paraId="22744060" w14:textId="77777777" w:rsidR="00632D2B" w:rsidRDefault="00000000">
      <w:pPr>
        <w:pStyle w:val="ListBullet"/>
      </w:pPr>
      <w:r>
        <w:t>Configuration and secrets must not be embedded in source code.</w:t>
      </w:r>
    </w:p>
    <w:p w14:paraId="60D669D5" w14:textId="77777777" w:rsidR="00632D2B" w:rsidRDefault="00000000">
      <w:pPr>
        <w:pStyle w:val="ListBullet"/>
      </w:pPr>
      <w:r>
        <w:t>Retention, deletion, and research-export policies must be configurable.</w:t>
      </w:r>
    </w:p>
    <w:p w14:paraId="1CA6EABF" w14:textId="77777777" w:rsidR="00632D2B" w:rsidRDefault="00000000">
      <w:pPr>
        <w:pStyle w:val="ListBullet"/>
      </w:pPr>
      <w:r>
        <w:t>No analytics dataset is released before the selected de-identification policy and validation gate are completed.</w:t>
      </w:r>
    </w:p>
    <w:p w14:paraId="4A88571C" w14:textId="77777777" w:rsidR="00632D2B" w:rsidRDefault="00000000">
      <w:pPr>
        <w:pStyle w:val="Heading1"/>
      </w:pPr>
      <w:r>
        <w:t>17. Fixed Product Roadmap</w:t>
      </w:r>
    </w:p>
    <w:tbl>
      <w:tblPr>
        <w:tblStyle w:val="TableGrid"/>
        <w:tblW w:w="0" w:type="auto"/>
        <w:jc w:val="center"/>
        <w:tblLook w:val="04A0" w:firstRow="1" w:lastRow="0" w:firstColumn="1" w:lastColumn="0" w:noHBand="0" w:noVBand="1"/>
      </w:tblPr>
      <w:tblGrid>
        <w:gridCol w:w="3360"/>
        <w:gridCol w:w="3360"/>
        <w:gridCol w:w="3360"/>
      </w:tblGrid>
      <w:tr w:rsidR="00632D2B" w14:paraId="5CC29F10" w14:textId="77777777">
        <w:trPr>
          <w:jc w:val="center"/>
        </w:trPr>
        <w:tc>
          <w:tcPr>
            <w:tcW w:w="3360" w:type="dxa"/>
            <w:shd w:val="clear" w:color="auto" w:fill="173768"/>
            <w:vAlign w:val="center"/>
          </w:tcPr>
          <w:p w14:paraId="6B82B013" w14:textId="77777777" w:rsidR="00632D2B" w:rsidRDefault="00000000">
            <w:r>
              <w:rPr>
                <w:b/>
                <w:color w:val="FFFFFF"/>
                <w:sz w:val="18"/>
              </w:rPr>
              <w:t>Phase</w:t>
            </w:r>
          </w:p>
        </w:tc>
        <w:tc>
          <w:tcPr>
            <w:tcW w:w="3360" w:type="dxa"/>
            <w:shd w:val="clear" w:color="auto" w:fill="173768"/>
            <w:vAlign w:val="center"/>
          </w:tcPr>
          <w:p w14:paraId="0FA9C01E" w14:textId="77777777" w:rsidR="00632D2B" w:rsidRDefault="00000000">
            <w:r>
              <w:rPr>
                <w:b/>
                <w:color w:val="FFFFFF"/>
                <w:sz w:val="18"/>
              </w:rPr>
              <w:t>Scope</w:t>
            </w:r>
          </w:p>
        </w:tc>
        <w:tc>
          <w:tcPr>
            <w:tcW w:w="3360" w:type="dxa"/>
            <w:shd w:val="clear" w:color="auto" w:fill="173768"/>
            <w:vAlign w:val="center"/>
          </w:tcPr>
          <w:p w14:paraId="7E3BF212" w14:textId="77777777" w:rsidR="00632D2B" w:rsidRDefault="00000000">
            <w:r>
              <w:rPr>
                <w:b/>
                <w:color w:val="FFFFFF"/>
                <w:sz w:val="18"/>
              </w:rPr>
              <w:t>Exit Condition</w:t>
            </w:r>
          </w:p>
        </w:tc>
      </w:tr>
      <w:tr w:rsidR="00632D2B" w14:paraId="43196CA9" w14:textId="77777777">
        <w:trPr>
          <w:jc w:val="center"/>
        </w:trPr>
        <w:tc>
          <w:tcPr>
            <w:tcW w:w="3360" w:type="dxa"/>
            <w:vAlign w:val="center"/>
          </w:tcPr>
          <w:p w14:paraId="315D12D6" w14:textId="77777777" w:rsidR="00632D2B" w:rsidRDefault="00000000">
            <w:r>
              <w:rPr>
                <w:sz w:val="18"/>
              </w:rPr>
              <w:t>Phase 1 — De-identification Foundation</w:t>
            </w:r>
          </w:p>
        </w:tc>
        <w:tc>
          <w:tcPr>
            <w:tcW w:w="3360" w:type="dxa"/>
            <w:vAlign w:val="center"/>
          </w:tcPr>
          <w:p>
            <w:r>
              <w:t>Unified intelligence, purpose-based Clinical Privacy Policy Engine, stable APIs, text plus TXT/DOCX/PDF ingestion, and benchmark foundation.</w:t>
            </w:r>
          </w:p>
        </w:tc>
        <w:tc>
          <w:tcPr>
            <w:tcW w:w="3360" w:type="dxa"/>
            <w:vAlign w:val="center"/>
          </w:tcPr>
          <w:p w14:paraId="0BD34562" w14:textId="77777777" w:rsidR="00632D2B" w:rsidRDefault="00000000">
            <w:r>
              <w:rPr>
                <w:sz w:val="18"/>
              </w:rPr>
              <w:t>Core report domains meet declared privacy and regression thresholds.</w:t>
            </w:r>
          </w:p>
        </w:tc>
      </w:tr>
      <w:tr w:rsidR="00632D2B" w14:paraId="021CD580" w14:textId="77777777">
        <w:trPr>
          <w:jc w:val="center"/>
        </w:trPr>
        <w:tc>
          <w:tcPr>
            <w:tcW w:w="3360" w:type="dxa"/>
            <w:shd w:val="clear" w:color="auto" w:fill="F3F6FA"/>
            <w:vAlign w:val="center"/>
          </w:tcPr>
          <w:p w14:paraId="416A61BE" w14:textId="77777777" w:rsidR="00632D2B" w:rsidRDefault="00000000">
            <w:r>
              <w:rPr>
                <w:sz w:val="18"/>
              </w:rPr>
              <w:t>Phase 2 — Document Understanding</w:t>
            </w:r>
          </w:p>
        </w:tc>
        <w:tc>
          <w:tcPr>
            <w:tcW w:w="3360" w:type="dxa"/>
            <w:shd w:val="clear" w:color="auto" w:fill="F3F6FA"/>
            <w:vAlign w:val="center"/>
          </w:tcPr>
          <w:p>
            <w:r>
              <w:t>Foundation implemented: deterministic language detection, line-oriented structural sections, evidence-based classification, confidence/evidence, and symbolic routing. OCR, layout vision, tables, ML/LLM classification, and advanced extraction remain deferred.</w:t>
            </w:r>
          </w:p>
        </w:tc>
        <w:tc>
          <w:tcPr>
            <w:tcW w:w="3360" w:type="dxa"/>
            <w:shd w:val="clear" w:color="auto" w:fill="F3F6FA"/>
            <w:vAlign w:val="center"/>
          </w:tcPr>
          <w:p w14:paraId="5E551BEA" w14:textId="77777777" w:rsidR="00632D2B" w:rsidRDefault="00000000">
            <w:r>
              <w:rPr>
                <w:sz w:val="18"/>
              </w:rPr>
              <w:t>Documents can be represented structurally independent of de-identification.</w:t>
            </w:r>
          </w:p>
        </w:tc>
      </w:tr>
      <w:tr w:rsidR="00632D2B" w14:paraId="79773F50" w14:textId="77777777">
        <w:trPr>
          <w:jc w:val="center"/>
        </w:trPr>
        <w:tc>
          <w:tcPr>
            <w:tcW w:w="3360" w:type="dxa"/>
            <w:vAlign w:val="center"/>
          </w:tcPr>
          <w:p w14:paraId="27373BC9" w14:textId="77777777" w:rsidR="00632D2B" w:rsidRDefault="00000000">
            <w:r>
              <w:rPr>
                <w:sz w:val="18"/>
              </w:rPr>
              <w:t>Phase 3 — Clinical Extraction</w:t>
            </w:r>
          </w:p>
        </w:tc>
        <w:tc>
          <w:tcPr>
            <w:tcW w:w="3360" w:type="dxa"/>
            <w:vAlign w:val="center"/>
          </w:tcPr>
          <w:p w14:paraId="0CFD4EEA" w14:textId="77777777" w:rsidR="00632D2B" w:rsidRDefault="00000000">
            <w:r>
              <w:rPr>
                <w:sz w:val="18"/>
              </w:rPr>
              <w:t>Diagnoses, symptoms, procedures, medications, lab, radiology, pathology, and relations.</w:t>
            </w:r>
          </w:p>
        </w:tc>
        <w:tc>
          <w:tcPr>
            <w:tcW w:w="3360" w:type="dxa"/>
            <w:vAlign w:val="center"/>
          </w:tcPr>
          <w:p w14:paraId="6CC916A9" w14:textId="77777777" w:rsidR="00632D2B" w:rsidRDefault="00000000">
            <w:r>
              <w:rPr>
                <w:sz w:val="18"/>
              </w:rPr>
              <w:t>Validated structured outputs for priority document domains.</w:t>
            </w:r>
          </w:p>
        </w:tc>
      </w:tr>
      <w:tr w:rsidR="00632D2B" w14:paraId="447ACF8A" w14:textId="77777777">
        <w:trPr>
          <w:jc w:val="center"/>
        </w:trPr>
        <w:tc>
          <w:tcPr>
            <w:tcW w:w="3360" w:type="dxa"/>
            <w:shd w:val="clear" w:color="auto" w:fill="F3F6FA"/>
            <w:vAlign w:val="center"/>
          </w:tcPr>
          <w:p w14:paraId="6EC4CBE2" w14:textId="77777777" w:rsidR="00632D2B" w:rsidRDefault="00000000">
            <w:r>
              <w:rPr>
                <w:sz w:val="18"/>
              </w:rPr>
              <w:t>Phase 4 — Terminology Services</w:t>
            </w:r>
          </w:p>
        </w:tc>
        <w:tc>
          <w:tcPr>
            <w:tcW w:w="3360" w:type="dxa"/>
            <w:shd w:val="clear" w:color="auto" w:fill="F3F6FA"/>
            <w:vAlign w:val="center"/>
          </w:tcPr>
          <w:p w14:paraId="0ECE85A1" w14:textId="77777777" w:rsidR="00632D2B" w:rsidRDefault="00000000">
            <w:r>
              <w:rPr>
                <w:sz w:val="18"/>
              </w:rPr>
              <w:t>SNOMED CT, ICD-10, LOINC, UCUM, ICD-O, and medication mapping.</w:t>
            </w:r>
          </w:p>
        </w:tc>
        <w:tc>
          <w:tcPr>
            <w:tcW w:w="3360" w:type="dxa"/>
            <w:shd w:val="clear" w:color="auto" w:fill="F3F6FA"/>
            <w:vAlign w:val="center"/>
          </w:tcPr>
          <w:p w14:paraId="23E933F4" w14:textId="77777777" w:rsidR="00632D2B" w:rsidRDefault="00000000">
            <w:r>
              <w:rPr>
                <w:sz w:val="18"/>
              </w:rPr>
              <w:t>Versioned normalized concepts with provenance.</w:t>
            </w:r>
          </w:p>
        </w:tc>
      </w:tr>
      <w:tr w:rsidR="00632D2B" w14:paraId="3A1ED6F6" w14:textId="77777777">
        <w:trPr>
          <w:jc w:val="center"/>
        </w:trPr>
        <w:tc>
          <w:tcPr>
            <w:tcW w:w="3360" w:type="dxa"/>
            <w:vAlign w:val="center"/>
          </w:tcPr>
          <w:p w14:paraId="3678A7F1" w14:textId="77777777" w:rsidR="00632D2B" w:rsidRDefault="00000000">
            <w:r>
              <w:rPr>
                <w:sz w:val="18"/>
              </w:rPr>
              <w:t>Phase 5 — Structured Repository and Search</w:t>
            </w:r>
          </w:p>
        </w:tc>
        <w:tc>
          <w:tcPr>
            <w:tcW w:w="3360" w:type="dxa"/>
            <w:vAlign w:val="center"/>
          </w:tcPr>
          <w:p w14:paraId="4DCF94FA" w14:textId="77777777" w:rsidR="00632D2B" w:rsidRDefault="00000000">
            <w:r>
              <w:rPr>
                <w:sz w:val="18"/>
              </w:rPr>
              <w:t>Document store, clinical data model, indexing, semantic search, audit.</w:t>
            </w:r>
          </w:p>
        </w:tc>
        <w:tc>
          <w:tcPr>
            <w:tcW w:w="3360" w:type="dxa"/>
            <w:vAlign w:val="center"/>
          </w:tcPr>
          <w:p w14:paraId="2F931F27" w14:textId="77777777" w:rsidR="00632D2B" w:rsidRDefault="00000000">
            <w:r>
              <w:rPr>
                <w:sz w:val="18"/>
              </w:rPr>
              <w:t>Traceable queryable repository.</w:t>
            </w:r>
          </w:p>
        </w:tc>
      </w:tr>
      <w:tr w:rsidR="00632D2B" w14:paraId="777CC86F" w14:textId="77777777">
        <w:trPr>
          <w:jc w:val="center"/>
        </w:trPr>
        <w:tc>
          <w:tcPr>
            <w:tcW w:w="3360" w:type="dxa"/>
            <w:shd w:val="clear" w:color="auto" w:fill="F3F6FA"/>
            <w:vAlign w:val="center"/>
          </w:tcPr>
          <w:p w14:paraId="4C297342" w14:textId="77777777" w:rsidR="00632D2B" w:rsidRDefault="00000000">
            <w:r>
              <w:rPr>
                <w:sz w:val="18"/>
              </w:rPr>
              <w:t>Phase 6 — Analytics and Indicators</w:t>
            </w:r>
          </w:p>
        </w:tc>
        <w:tc>
          <w:tcPr>
            <w:tcW w:w="3360" w:type="dxa"/>
            <w:shd w:val="clear" w:color="auto" w:fill="F3F6FA"/>
            <w:vAlign w:val="center"/>
          </w:tcPr>
          <w:p w14:paraId="6D378749" w14:textId="77777777" w:rsidR="00632D2B" w:rsidRDefault="00000000">
            <w:r>
              <w:rPr>
                <w:sz w:val="18"/>
              </w:rPr>
              <w:t>Dashboards, cohorts, trends, quality, public health, research exports.</w:t>
            </w:r>
          </w:p>
        </w:tc>
        <w:tc>
          <w:tcPr>
            <w:tcW w:w="3360" w:type="dxa"/>
            <w:shd w:val="clear" w:color="auto" w:fill="F3F6FA"/>
            <w:vAlign w:val="center"/>
          </w:tcPr>
          <w:p w14:paraId="064DF355" w14:textId="77777777" w:rsidR="00632D2B" w:rsidRDefault="00000000">
            <w:r>
              <w:rPr>
                <w:sz w:val="18"/>
              </w:rPr>
              <w:t>Validated indicators generated from structured data.</w:t>
            </w:r>
          </w:p>
        </w:tc>
      </w:tr>
      <w:tr w:rsidR="00632D2B" w14:paraId="3F9840E7" w14:textId="77777777">
        <w:trPr>
          <w:jc w:val="center"/>
        </w:trPr>
        <w:tc>
          <w:tcPr>
            <w:tcW w:w="3360" w:type="dxa"/>
            <w:vAlign w:val="center"/>
          </w:tcPr>
          <w:p w14:paraId="0922523F" w14:textId="77777777" w:rsidR="00632D2B" w:rsidRDefault="00000000">
            <w:r>
              <w:rPr>
                <w:sz w:val="18"/>
              </w:rPr>
              <w:lastRenderedPageBreak/>
              <w:t>Phase 7 — Enterprise Integration</w:t>
            </w:r>
          </w:p>
        </w:tc>
        <w:tc>
          <w:tcPr>
            <w:tcW w:w="3360" w:type="dxa"/>
            <w:vAlign w:val="center"/>
          </w:tcPr>
          <w:p w14:paraId="04BA018C" w14:textId="77777777" w:rsidR="00632D2B" w:rsidRDefault="00000000">
            <w:r>
              <w:rPr>
                <w:sz w:val="18"/>
              </w:rPr>
              <w:t>HIS/LIS/RIS/PACS, HL7 v2, FHIR, DICOM SR, identity/access, operations.</w:t>
            </w:r>
          </w:p>
        </w:tc>
        <w:tc>
          <w:tcPr>
            <w:tcW w:w="3360" w:type="dxa"/>
            <w:vAlign w:val="center"/>
          </w:tcPr>
          <w:p w14:paraId="6EDA1659" w14:textId="77777777" w:rsidR="00632D2B" w:rsidRDefault="00000000">
            <w:r>
              <w:rPr>
                <w:sz w:val="18"/>
              </w:rPr>
              <w:t>Production integration and deployment readiness.</w:t>
            </w:r>
          </w:p>
        </w:tc>
      </w:tr>
    </w:tbl>
    <w:p w14:paraId="0CD2B462" w14:textId="77777777" w:rsidR="006137B3" w:rsidRDefault="006137B3"/>
    <w:p w14:paraId="7363C0C7" w14:textId="77777777" w:rsidR="006137B3" w:rsidRDefault="006137B3"/>
    <w:p w14:paraId="674B88CC" w14:textId="77777777" w:rsidR="00B45ED4" w:rsidRDefault="00B45ED4"/>
    <w:p w14:paraId="43384FCF" w14:textId="77777777" w:rsidR="00B45ED4" w:rsidRDefault="00B45ED4"/>
    <w:p w14:paraId="3B1CAA58" w14:textId="55BFC104" w:rsidR="00B45ED4" w:rsidRPr="00B45ED4" w:rsidRDefault="00B45ED4" w:rsidP="00B45ED4">
      <w:pPr>
        <w:pStyle w:val="Heading1"/>
        <w:rPr>
          <w:sz w:val="32"/>
          <w:szCs w:val="22"/>
        </w:rPr>
      </w:pPr>
      <w:r w:rsidRPr="00B45ED4">
        <w:rPr>
          <w:sz w:val="32"/>
          <w:szCs w:val="22"/>
        </w:rPr>
        <w:t>17.1 Stage Exit Criteria</w:t>
      </w:r>
    </w:p>
    <w:p w14:paraId="7D2DF540" w14:textId="3F064204" w:rsidR="00B45ED4" w:rsidRDefault="00B45ED4" w:rsidP="00B45ED4">
      <w:r>
        <w:t>Stage completion is determined by measurable engineering gates rather than by implementation progress alone.</w:t>
      </w:r>
    </w:p>
    <w:p w14:paraId="4C52074E" w14:textId="6E7104DD" w:rsidR="00B45ED4" w:rsidRDefault="00B45ED4" w:rsidP="00B45ED4">
      <w:r>
        <w:t>A stage is considered complete only after:</w:t>
      </w:r>
    </w:p>
    <w:p w14:paraId="01EF1302" w14:textId="77777777" w:rsidR="00B45ED4" w:rsidRDefault="00B45ED4" w:rsidP="00B45ED4">
      <w:r>
        <w:t>• All planned architectural components are implemented.</w:t>
      </w:r>
    </w:p>
    <w:p w14:paraId="4BB8D4C5" w14:textId="77777777" w:rsidR="00B45ED4" w:rsidRDefault="00B45ED4" w:rsidP="00B45ED4">
      <w:r>
        <w:t>• All unit and regression tests pass.</w:t>
      </w:r>
    </w:p>
    <w:p w14:paraId="0CC76762" w14:textId="77777777" w:rsidR="00B45ED4" w:rsidRDefault="00B45ED4" w:rsidP="00B45ED4">
      <w:r>
        <w:t>• Integration tests pass.</w:t>
      </w:r>
    </w:p>
    <w:p w14:paraId="58D5CE9A" w14:textId="77777777" w:rsidR="00B45ED4" w:rsidRDefault="00B45ED4" w:rsidP="00B45ED4">
      <w:r>
        <w:t>• Operational validation succeeds using real-world workflows.</w:t>
      </w:r>
    </w:p>
    <w:p w14:paraId="17B103D0" w14:textId="00D488AD" w:rsidR="00B45ED4" w:rsidRDefault="00B45ED4" w:rsidP="00B45ED4">
      <w:r>
        <w:t>• No critical architectural debt remains unresolved for that stage.</w:t>
      </w:r>
    </w:p>
    <w:p w14:paraId="7CEC1368" w14:textId="77777777" w:rsidR="00B45ED4" w:rsidRDefault="00B45ED4" w:rsidP="00B45ED4">
      <w:r>
        <w:t>Passing automated tests alone is not sufficient to declare a stage complete.</w:t>
      </w:r>
    </w:p>
    <w:p w14:paraId="770E050B" w14:textId="07B17C9D" w:rsidR="00B45ED4" w:rsidRDefault="00B45ED4" w:rsidP="00B45ED4">
      <w:r>
        <w:t>Operational validation is mandatory.</w:t>
      </w:r>
    </w:p>
    <w:p w14:paraId="27F8E6F8" w14:textId="77777777" w:rsidR="006C2190" w:rsidRPr="006C2190" w:rsidRDefault="006C2190" w:rsidP="006C2190">
      <w:pPr>
        <w:rPr>
          <w:b/>
          <w:bCs/>
          <w:sz w:val="22"/>
          <w:szCs w:val="24"/>
        </w:rPr>
      </w:pPr>
      <w:r w:rsidRPr="006C2190">
        <w:rPr>
          <w:b/>
          <w:bCs/>
          <w:sz w:val="22"/>
          <w:szCs w:val="24"/>
        </w:rPr>
        <w:t>Stage 1 Exit Criteria</w:t>
      </w:r>
    </w:p>
    <w:p w14:paraId="7763A021" w14:textId="5BFDABAD" w:rsidR="006C2190" w:rsidRDefault="006C2190" w:rsidP="006C2190">
      <w:r>
        <w:rPr>
          <w:rFonts w:ascii="Segoe UI Symbol" w:hAnsi="Segoe UI Symbol" w:cs="Segoe UI Symbol"/>
        </w:rPr>
        <w:t>✔</w:t>
      </w:r>
      <w:r>
        <w:t xml:space="preserve"> Unified Detection Contract</w:t>
      </w:r>
    </w:p>
    <w:p w14:paraId="44483A46" w14:textId="2DAFFC17" w:rsidR="006C2190" w:rsidRDefault="006C2190" w:rsidP="006C2190">
      <w:r>
        <w:rPr>
          <w:rFonts w:ascii="Segoe UI Symbol" w:hAnsi="Segoe UI Symbol" w:cs="Segoe UI Symbol"/>
        </w:rPr>
        <w:t>✔</w:t>
      </w:r>
      <w:r>
        <w:t xml:space="preserve"> Clinical Vocabulary Framework</w:t>
      </w:r>
    </w:p>
    <w:p w14:paraId="1D9BFDE8" w14:textId="5366DBF1" w:rsidR="006C2190" w:rsidRDefault="006C2190" w:rsidP="006C2190">
      <w:r>
        <w:rPr>
          <w:rFonts w:ascii="Segoe UI Symbol" w:hAnsi="Segoe UI Symbol" w:cs="Segoe UI Symbol"/>
        </w:rPr>
        <w:t>✔</w:t>
      </w:r>
      <w:r>
        <w:t xml:space="preserve"> Stable Policy Pipeline</w:t>
      </w:r>
    </w:p>
    <w:p w14:paraId="35B9089A" w14:textId="2C10815F" w:rsidR="006C2190" w:rsidRDefault="006C2190" w:rsidP="006C2190">
      <w:r>
        <w:rPr>
          <w:rFonts w:ascii="Segoe UI Symbol" w:hAnsi="Segoe UI Symbol" w:cs="Segoe UI Symbol"/>
        </w:rPr>
        <w:t>✔</w:t>
      </w:r>
      <w:r>
        <w:t xml:space="preserve"> Stable Context Protection</w:t>
      </w:r>
    </w:p>
    <w:p w14:paraId="0E336A95" w14:textId="103FE4AB" w:rsidR="006C2190" w:rsidRDefault="006C2190" w:rsidP="006C2190">
      <w:r>
        <w:t>✔ Current regression baseline: 671 tests passed, 8 warnings, 0 failures</w:t>
      </w:r>
    </w:p>
    <w:p>
      <w:r>
        <w:t>Current clarification (10 August 2026): context-rule, deterministic, and OpenMed candidates converge through one Intelligence pipeline. PolicyTransformer and KeepEntityProtector remain compatibility components outside the authoritative service path. Both text and file APIs select the same purpose profile through one resolver. Representative validation does not equal production certification; scanned/image PDF OCR remains unimplemented.</w:t>
      </w:r>
    </w:p>
    <w:p w14:paraId="32C31249" w14:textId="658C8CAD" w:rsidR="006C2190" w:rsidRDefault="006C2190" w:rsidP="006C2190">
      <w:r>
        <w:rPr>
          <w:rFonts w:ascii="Segoe UI Symbol" w:hAnsi="Segoe UI Symbol" w:cs="Segoe UI Symbol"/>
        </w:rPr>
        <w:t>✔</w:t>
      </w:r>
      <w:r>
        <w:t xml:space="preserve"> Stage 1 Operational Validation Completed</w:t>
      </w:r>
    </w:p>
    <w:p w14:paraId="32F0FDF8" w14:textId="13143258" w:rsidR="006C2190" w:rsidRDefault="006C2190" w:rsidP="006C2190">
      <w:pPr>
        <w:rPr>
          <w:b/>
          <w:bCs/>
          <w:sz w:val="22"/>
          <w:szCs w:val="24"/>
        </w:rPr>
      </w:pPr>
      <w:r w:rsidRPr="006C2190">
        <w:rPr>
          <w:b/>
          <w:bCs/>
          <w:sz w:val="22"/>
          <w:szCs w:val="24"/>
        </w:rPr>
        <w:t>Stage 2 Exit Criteria</w:t>
      </w:r>
    </w:p>
    <w:p w14:paraId="76CEB2D1" w14:textId="522E98E0" w:rsidR="006C2190" w:rsidRPr="006C2190" w:rsidRDefault="006C2190" w:rsidP="006C2190">
      <w:pPr>
        <w:rPr>
          <w:b/>
          <w:bCs/>
          <w:sz w:val="22"/>
          <w:szCs w:val="24"/>
        </w:rPr>
      </w:pPr>
      <w:r w:rsidRPr="006C2190">
        <w:rPr>
          <w:b/>
          <w:bCs/>
          <w:sz w:val="22"/>
          <w:szCs w:val="24"/>
        </w:rPr>
        <w:t>Stage 2 will be considered complete only after:</w:t>
      </w:r>
    </w:p>
    <w:p w14:paraId="3D2DF9C5" w14:textId="60ABAAEE" w:rsidR="006C2190" w:rsidRPr="006C2190" w:rsidRDefault="006C2190" w:rsidP="006C2190">
      <w:r w:rsidRPr="006C2190">
        <w:rPr>
          <w:rFonts w:hint="eastAsia"/>
        </w:rPr>
        <w:t>✔ Unified File Ingestion Architecture</w:t>
      </w:r>
      <w:r w:rsidRPr="006C2190">
        <w:rPr>
          <w:rFonts w:hint="eastAsia"/>
        </w:rPr>
      </w:r>
    </w:p>
    <w:p w14:paraId="0260844A" w14:textId="34C95955" w:rsidR="006C2190" w:rsidRPr="006C2190" w:rsidRDefault="006C2190" w:rsidP="006C2190">
      <w:r w:rsidRPr="006C2190">
        <w:rPr>
          <w:rFonts w:hint="eastAsia"/>
        </w:rPr>
        <w:t>✔ TXT Extractor</w:t>
      </w:r>
      <w:r w:rsidRPr="006C2190">
        <w:rPr>
          <w:rFonts w:hint="eastAsia"/>
        </w:rPr>
      </w:r>
    </w:p>
    <w:p w14:paraId="13BD7AB5" w14:textId="2B74E8CC" w:rsidR="006C2190" w:rsidRPr="006C2190" w:rsidRDefault="006C2190" w:rsidP="006C2190">
      <w:r w:rsidRPr="006C2190">
        <w:rPr>
          <w:rFonts w:hint="eastAsia"/>
        </w:rPr>
        <w:t>✔ DOCX Extractor</w:t>
      </w:r>
      <w:r w:rsidRPr="006C2190">
        <w:rPr>
          <w:rFonts w:hint="eastAsia"/>
        </w:rPr>
      </w:r>
    </w:p>
    <w:p w14:paraId="49E4438C" w14:textId="3F13A88F" w:rsidR="006C2190" w:rsidRPr="006C2190" w:rsidRDefault="006C2190" w:rsidP="006C2190">
      <w:r w:rsidRPr="006C2190">
        <w:rPr>
          <w:rFonts w:hint="eastAsia"/>
        </w:rPr>
        <w:t>✔ Text-based PDF Extractor</w:t>
      </w:r>
      <w:r w:rsidRPr="006C2190">
        <w:rPr>
          <w:rFonts w:hint="eastAsia"/>
        </w:rPr>
      </w:r>
    </w:p>
    <w:p w14:paraId="019F2EF4" w14:textId="7036569B" w:rsidR="006C2190" w:rsidRPr="006C2190" w:rsidRDefault="006C2190" w:rsidP="006C2190">
      <w:r w:rsidRPr="006C2190">
        <w:rPr>
          <w:rFonts w:hint="eastAsia"/>
        </w:rPr>
        <w:t>✔ Extractor Factory</w:t>
      </w:r>
      <w:r w:rsidRPr="006C2190">
        <w:rPr>
          <w:rFonts w:hint="eastAsia"/>
        </w:rPr>
      </w:r>
    </w:p>
    <w:p w14:paraId="6AEBAC74" w14:textId="6FA55E49" w:rsidR="006C2190" w:rsidRPr="006C2190" w:rsidRDefault="006C2190" w:rsidP="006C2190">
      <w:r w:rsidRPr="006C2190">
        <w:rPr>
          <w:rFonts w:hint="eastAsia"/>
        </w:rPr>
        <w:t>✔ Extractor Registry</w:t>
      </w:r>
      <w:r w:rsidRPr="006C2190">
        <w:rPr>
          <w:rFonts w:hint="eastAsia"/>
        </w:rPr>
      </w:r>
    </w:p>
    <w:p w14:paraId="3C3CED26" w14:textId="361EF89A" w:rsidR="006C2190" w:rsidRPr="006C2190" w:rsidRDefault="006C2190" w:rsidP="006C2190">
      <w:r w:rsidRPr="006C2190">
        <w:rPr>
          <w:rFonts w:hint="eastAsia"/>
        </w:rPr>
        <w:t>✔ FileProcessingService</w:t>
      </w:r>
      <w:r w:rsidRPr="006C2190">
        <w:rPr>
          <w:rFonts w:hint="eastAsia"/>
        </w:rPr>
      </w:r>
    </w:p>
    <w:p w14:paraId="49817490" w14:textId="5D33FCF1" w:rsidR="006C2190" w:rsidRPr="006C2190" w:rsidRDefault="006C2190" w:rsidP="006C2190">
      <w:r w:rsidRPr="006C2190">
        <w:rPr>
          <w:rFonts w:hint="eastAsia"/>
        </w:rPr>
        <w:t>✔ FastAPI Upload/De-identification Endpoint</w:t>
      </w:r>
      <w:r w:rsidRPr="006C2190">
        <w:rPr>
          <w:rFonts w:hint="eastAsia"/>
        </w:rPr>
      </w:r>
    </w:p>
    <w:p w14:paraId="6A6F99F9" w14:textId="2E7B90F4" w:rsidR="006C2190" w:rsidRPr="006C2190" w:rsidRDefault="006C2190" w:rsidP="006C2190">
      <w:r w:rsidRPr="006C2190">
        <w:rPr>
          <w:rFonts w:hint="eastAsia"/>
        </w:rPr>
        <w:t>□</w:t>
      </w:r>
      <w:r w:rsidRPr="006C2190">
        <w:rPr>
          <w:rFonts w:hint="eastAsia"/>
        </w:rPr>
        <w:t xml:space="preserve"> Browser File Upload</w:t>
      </w:r>
    </w:p>
    <w:p w14:paraId="0E0736EB" w14:textId="5574AD97" w:rsidR="006C2190" w:rsidRPr="006C2190" w:rsidRDefault="006C2190" w:rsidP="006C2190">
      <w:r w:rsidRPr="006C2190">
        <w:rPr>
          <w:rFonts w:hint="eastAsia"/>
        </w:rPr>
        <w:t>□</w:t>
      </w:r>
      <w:r w:rsidRPr="006C2190">
        <w:rPr>
          <w:rFonts w:hint="eastAsia"/>
        </w:rPr>
        <w:t xml:space="preserve"> Successful processing of real TXT document</w:t>
      </w:r>
    </w:p>
    <w:p w14:paraId="3A6B2C66" w14:textId="78346899" w:rsidR="006C2190" w:rsidRPr="006C2190" w:rsidRDefault="006C2190" w:rsidP="006C2190">
      <w:r w:rsidRPr="006C2190">
        <w:rPr>
          <w:rFonts w:hint="eastAsia"/>
        </w:rPr>
        <w:t>□</w:t>
      </w:r>
      <w:r w:rsidRPr="006C2190">
        <w:rPr>
          <w:rFonts w:hint="eastAsia"/>
        </w:rPr>
        <w:t xml:space="preserve"> Successful processing of real DOCX document</w:t>
      </w:r>
    </w:p>
    <w:p w14:paraId="72CA4C39" w14:textId="0D9DA142" w:rsidR="006C2190" w:rsidRPr="006C2190" w:rsidRDefault="006C2190" w:rsidP="006C2190">
      <w:r w:rsidRPr="006C2190">
        <w:rPr>
          <w:rFonts w:hint="eastAsia"/>
        </w:rPr>
        <w:t>□</w:t>
      </w:r>
      <w:r w:rsidRPr="006C2190">
        <w:rPr>
          <w:rFonts w:hint="eastAsia"/>
        </w:rPr>
        <w:t xml:space="preserve"> Successful processing of real PDF document</w:t>
      </w:r>
    </w:p>
    <w:p w14:paraId="555D638A" w14:textId="55DB1E84" w:rsidR="006C2190" w:rsidRPr="006C2190" w:rsidRDefault="006C2190" w:rsidP="006C2190">
      <w:r w:rsidRPr="006C2190">
        <w:rPr>
          <w:rFonts w:hint="eastAsia"/>
        </w:rPr>
        <w:t>□</w:t>
      </w:r>
      <w:r w:rsidRPr="006C2190">
        <w:rPr>
          <w:rFonts w:hint="eastAsia"/>
        </w:rPr>
        <w:t xml:space="preserve"> Full Regression Suite Passed</w:t>
      </w:r>
    </w:p>
    <w:p w14:paraId="1E0191F6" w14:textId="77777777" w:rsidR="00632D2B" w:rsidRDefault="00000000">
      <w:pPr>
        <w:pStyle w:val="Heading1"/>
      </w:pPr>
      <w:r>
        <w:t>18. Immediate Engineering Plan — Updated 10 August 2026</w:t>
      </w:r>
    </w:p>
    <w:p w14:paraId="3D493F0B" w14:textId="77777777" w:rsidR="00632D2B" w:rsidRDefault="00000000">
      <w:r>
        <w:t>The Unified Privacy Decision Pipeline and Purpose-Based Clinical Privacy Policy Engine POC Milestone 1 are complete. The immediate product priority is the MedNexus Frontend Redesign / Policy Experience while preserving the authoritative pipeline and policy semantics.</w:t>
      </w:r>
    </w:p>
    <w:p w14:paraId="3E045712" w14:textId="77777777" w:rsidR="00632D2B" w:rsidRDefault="00000000">
      <w:pPr>
        <w:pStyle w:val="ListNumber"/>
      </w:pPr>
      <w:r>
        <w:t>1. Preserve the current validated De-identification baseline and its regression suite before further pipeline expansion.</w:t>
      </w:r>
    </w:p>
    <w:p w14:paraId="478D31B8" w14:textId="56A6C430" w:rsidR="00632D2B" w:rsidRDefault="00000000">
      <w:pPr>
        <w:pStyle w:val="ListNumber"/>
      </w:pPr>
      <w:r>
        <w:t>Migrate ContextRuleEngine to return DetectedEntity with exact offsets, source, confidence, and label metadata.</w:t>
      </w:r>
      <w:r w:rsidR="00A76ED2">
        <w:t xml:space="preserve"> </w:t>
      </w:r>
      <w:r w:rsidR="00A76ED2" w:rsidRPr="00A76ED2">
        <w:rPr>
          <w:color w:val="00B050"/>
        </w:rPr>
        <w:t>Status: Completed</w:t>
      </w:r>
    </w:p>
    <w:p w14:paraId="0EB93411" w14:textId="41BE6ECA" w:rsidR="00632D2B" w:rsidRDefault="00000000">
      <w:pPr>
        <w:pStyle w:val="ListNumber"/>
      </w:pPr>
      <w:r>
        <w:t>Route unified candidates through the Intelligence Core into PolicyDefinition/PolicyEngine and MedNexusOutputBuilder. Status: Completed</w:t>
      </w:r>
    </w:p>
    <w:p w14:paraId="720F29F1" w14:textId="279862F1" w:rsidR="00632D2B" w:rsidRDefault="00000000">
      <w:pPr>
        <w:pStyle w:val="ListNumber"/>
      </w:pPr>
      <w:r>
        <w:t>Remove PolicyTransformer from the authoritative service path; retain it only as a compatibility component. Status: Completed</w:t>
      </w:r>
    </w:p>
    <w:p w14:paraId="4AC9047A" w14:textId="734CB4FE" w:rsidR="00632D2B" w:rsidRDefault="00000000">
      <w:pPr>
        <w:pStyle w:val="ListNumber"/>
      </w:pPr>
      <w:r>
        <w:t>Centralize purpose-based policy applicability in typed PolicyRule and PolicyDefinition contracts. Status: Completed</w:t>
      </w:r>
    </w:p>
    <w:p w14:paraId="1CBD94F7" w14:textId="02BF39CD" w:rsidR="00632D2B" w:rsidRDefault="00000000">
      <w:pPr>
        <w:pStyle w:val="ListNumber"/>
      </w:pPr>
      <w:r>
        <w:t>Introduce a DetectionOrchestrator that initially runs the existing context detector and OpenMed detection, then merges results.</w:t>
      </w:r>
      <w:r w:rsidR="00A76ED2" w:rsidRPr="00A76ED2">
        <w:rPr>
          <w:color w:val="00B050"/>
        </w:rPr>
        <w:t xml:space="preserve"> Status: Completed</w:t>
      </w:r>
    </w:p>
    <w:p w14:paraId="300876A3" w14:textId="488D7664" w:rsidR="00632D2B" w:rsidRDefault="00000000">
      <w:pPr>
        <w:pStyle w:val="ListNumber"/>
      </w:pPr>
      <w:r>
        <w:t>Add a DetectionMerger with deterministic overlap and precedence rules.</w:t>
      </w:r>
      <w:r w:rsidR="00A76ED2" w:rsidRPr="00A76ED2">
        <w:rPr>
          <w:color w:val="00B050"/>
        </w:rPr>
        <w:t xml:space="preserve"> Status: Completed</w:t>
      </w:r>
    </w:p>
    <w:p w14:paraId="4FBC19D0" w14:textId="06F5A95E" w:rsidR="00632D2B" w:rsidRDefault="00000000">
      <w:pPr>
        <w:pStyle w:val="ListNumber"/>
      </w:pPr>
      <w:r>
        <w:t>Convert the current synthetic reports into golden benchmark cases with expected identity spans.</w:t>
      </w:r>
      <w:r w:rsidR="00A76ED2" w:rsidRPr="00A76ED2">
        <w:rPr>
          <w:color w:val="00B050"/>
        </w:rPr>
        <w:t xml:space="preserve"> Status: Completed</w:t>
      </w:r>
    </w:p>
    <w:p w14:paraId="7E372F27" w14:textId="57B314F0" w:rsidR="00632D2B" w:rsidRDefault="00000000">
      <w:pPr>
        <w:pStyle w:val="ListNumber"/>
      </w:pPr>
      <w:r>
        <w:t>Revalidate Emergency, Pathology, Radiology, Laboratory, Discharge, ADT, and mixed-language Referral documents.</w:t>
      </w:r>
      <w:r w:rsidR="00A76ED2" w:rsidRPr="00A76ED2">
        <w:rPr>
          <w:color w:val="00B050"/>
        </w:rPr>
        <w:t xml:space="preserve"> Status: Completed</w:t>
      </w:r>
    </w:p>
    <w:p w14:paraId="2618EF45" w14:textId="77777777" w:rsidR="00632D2B" w:rsidRDefault="00000000">
      <w:pPr>
        <w:pStyle w:val="ListNumber"/>
      </w:pPr>
      <w:r>
        <w:t>TXT, DOCX, and text-based PDF parsing are implemented as ingestion adapters. Extracted text enters the same MedNexus-owned De-identification Intelligence pipeline. Scanned/image PDF OCR remains planned.</w:t>
      </w:r>
    </w:p>
    <w:p w14:paraId="1B4000C1" w14:textId="4DF7FD0C" w:rsidR="00D152C7" w:rsidRPr="00D152C7" w:rsidRDefault="00D152C7" w:rsidP="00D152C7">
      <w:pPr>
        <w:pStyle w:val="ListNumber"/>
      </w:pPr>
      <w:r w:rsidRPr="00D152C7">
        <w:t>Enterprise Document Processing Foundation</w:t>
      </w:r>
      <w:r>
        <w:t>.</w:t>
      </w:r>
      <w:r w:rsidRPr="00D152C7">
        <w:rPr>
          <w:color w:val="00B050"/>
        </w:rPr>
        <w:t xml:space="preserve"> </w:t>
      </w:r>
      <w:r w:rsidRPr="00A76ED2">
        <w:rPr>
          <w:color w:val="00B050"/>
        </w:rPr>
        <w:t>Status: Completed</w:t>
      </w:r>
    </w:p>
    <w:p w14:paraId="2B9DB3CE" w14:textId="4E40981A" w:rsidR="00D152C7" w:rsidRDefault="00D152C7" w:rsidP="00D152C7">
      <w:pPr>
        <w:pStyle w:val="ListNumber"/>
        <w:numPr>
          <w:ilvl w:val="0"/>
          <w:numId w:val="0"/>
        </w:numPr>
        <w:ind w:left="720"/>
      </w:pPr>
      <w:r w:rsidRPr="00D152C7">
        <w:t>The following core infrastructure has been completed and validated:</w:t>
      </w:r>
    </w:p>
    <w:p w14:paraId="6D6C89D2" w14:textId="05993AEF" w:rsidR="00D152C7" w:rsidRDefault="00D152C7" w:rsidP="00D152C7">
      <w:pPr>
        <w:pStyle w:val="ListNumber"/>
        <w:numPr>
          <w:ilvl w:val="0"/>
          <w:numId w:val="0"/>
        </w:numPr>
        <w:ind w:left="720"/>
      </w:pPr>
      <w:r>
        <w:t xml:space="preserve"> • DocumentContent Contract</w:t>
      </w:r>
      <w:r w:rsidRPr="00D152C7"/>
    </w:p>
    <w:p w14:paraId="52634B56" w14:textId="77777777" w:rsidR="00D152C7" w:rsidRDefault="00D152C7" w:rsidP="00D152C7">
      <w:pPr>
        <w:pStyle w:val="ListNumber"/>
        <w:numPr>
          <w:ilvl w:val="0"/>
          <w:numId w:val="0"/>
        </w:numPr>
        <w:ind w:left="1080" w:firstLine="360"/>
      </w:pPr>
      <w:r w:rsidRPr="00D152C7">
        <w:t xml:space="preserve"> • BaseDocumentExtractor</w:t>
      </w:r>
    </w:p>
    <w:p w14:paraId="05166316" w14:textId="77777777" w:rsidR="00D152C7" w:rsidRDefault="00D152C7" w:rsidP="00D152C7">
      <w:pPr>
        <w:pStyle w:val="ListNumber"/>
        <w:numPr>
          <w:ilvl w:val="0"/>
          <w:numId w:val="0"/>
        </w:numPr>
        <w:ind w:left="720" w:firstLine="720"/>
      </w:pPr>
      <w:r>
        <w:t xml:space="preserve"> • TXT Document Extractor</w:t>
      </w:r>
      <w:r w:rsidRPr="00D152C7"/>
    </w:p>
    <w:p w14:paraId="3264CBEA" w14:textId="77777777" w:rsidR="00D152C7" w:rsidRDefault="00D152C7" w:rsidP="00D152C7">
      <w:pPr>
        <w:pStyle w:val="ListNumber"/>
        <w:numPr>
          <w:ilvl w:val="0"/>
          <w:numId w:val="0"/>
        </w:numPr>
        <w:ind w:left="720" w:firstLine="720"/>
      </w:pPr>
      <w:r w:rsidRPr="00D152C7">
        <w:t xml:space="preserve"> • DOCX Document Extractor</w:t>
      </w:r>
    </w:p>
    <w:p w14:paraId="7AF7F390" w14:textId="77777777" w:rsidR="00D152C7" w:rsidRDefault="00D152C7" w:rsidP="00D152C7">
      <w:pPr>
        <w:pStyle w:val="ListNumber"/>
        <w:numPr>
          <w:ilvl w:val="0"/>
          <w:numId w:val="0"/>
        </w:numPr>
        <w:ind w:left="720" w:firstLine="720"/>
      </w:pPr>
      <w:r w:rsidRPr="00D152C7">
        <w:t xml:space="preserve"> • Text-based PDF Document Extractor</w:t>
      </w:r>
    </w:p>
    <w:p w14:paraId="194588E8" w14:textId="77777777" w:rsidR="00D152C7" w:rsidRDefault="00D152C7" w:rsidP="00D152C7">
      <w:pPr>
        <w:pStyle w:val="ListNumber"/>
        <w:numPr>
          <w:ilvl w:val="0"/>
          <w:numId w:val="0"/>
        </w:numPr>
        <w:ind w:left="720"/>
        <w:jc w:val="both"/>
      </w:pPr>
      <w:r w:rsidRPr="00D152C7">
        <w:t>The completed ingestion architecture includes the Extractor Registry, Extractor Factory, FileProcessingService, and FastAPI file upload/de-identification endpoint. This architecture is the mandatory foundation for future document ingestion, including OCR, HL7 CDA, FHIR DocumentReference, and DICOM SR. Future formats must integrate through the Extractor Framework rather than standalone parsing logic.</w:t>
      </w:r>
    </w:p>
    <w:p w14:paraId="2E569B65" w14:textId="77777777" w:rsidR="00D152C7" w:rsidRDefault="00D152C7" w:rsidP="00D152C7">
      <w:pPr>
        <w:pStyle w:val="ListNumber"/>
        <w:numPr>
          <w:ilvl w:val="0"/>
          <w:numId w:val="0"/>
        </w:numPr>
        <w:ind w:left="720"/>
        <w:jc w:val="both"/>
      </w:pPr>
      <w:r w:rsidRPr="00D152C7">
        <w:t xml:space="preserve">Validation Status </w:t>
      </w:r>
    </w:p>
    <w:p w14:paraId="0F81FBDB" w14:textId="77777777" w:rsidR="00D152C7" w:rsidRDefault="00D152C7" w:rsidP="00D152C7">
      <w:pPr>
        <w:pStyle w:val="ListNumber"/>
        <w:numPr>
          <w:ilvl w:val="0"/>
          <w:numId w:val="0"/>
        </w:numPr>
        <w:ind w:left="720"/>
        <w:jc w:val="both"/>
      </w:pPr>
      <w:r>
        <w:t>✔ Superseded by current regression baseline: 671 tests passed, 8 warnings, 0 failures</w:t>
      </w:r>
    </w:p>
    <w:p w14:paraId="22E3C3C4" w14:textId="77777777" w:rsidR="00D152C7" w:rsidRDefault="00D152C7" w:rsidP="00D152C7">
      <w:pPr>
        <w:pStyle w:val="ListNumber"/>
        <w:numPr>
          <w:ilvl w:val="0"/>
          <w:numId w:val="0"/>
        </w:numPr>
        <w:ind w:left="720"/>
        <w:jc w:val="both"/>
      </w:pPr>
      <w:r w:rsidRPr="00D152C7">
        <w:rPr>
          <w:rFonts w:ascii="Segoe UI Symbol" w:hAnsi="Segoe UI Symbol" w:cs="Segoe UI Symbol"/>
        </w:rPr>
        <w:t>✔</w:t>
      </w:r>
      <w:r w:rsidRPr="00D152C7">
        <w:t xml:space="preserve"> Zero Regression </w:t>
      </w:r>
    </w:p>
    <w:p w14:paraId="0E3E892F" w14:textId="0BAF9372" w:rsidR="00D152C7" w:rsidRDefault="00D152C7" w:rsidP="006137B3">
      <w:pPr>
        <w:pStyle w:val="ListNumber"/>
        <w:numPr>
          <w:ilvl w:val="0"/>
          <w:numId w:val="0"/>
        </w:numPr>
        <w:ind w:left="720"/>
        <w:jc w:val="both"/>
      </w:pPr>
      <w:r w:rsidRPr="00D152C7">
        <w:rPr>
          <w:rFonts w:ascii="Segoe UI Symbol" w:hAnsi="Segoe UI Symbol" w:cs="Segoe UI Symbol"/>
        </w:rPr>
        <w:t>✔</w:t>
      </w:r>
      <w:r w:rsidRPr="00D152C7">
        <w:t xml:space="preserve"> Stable Foundation</w:t>
      </w:r>
    </w:p>
    <w:p w14:paraId="259FE689" w14:textId="77777777" w:rsidR="00632D2B" w:rsidRDefault="00000000">
      <w:pPr>
        <w:pStyle w:val="Heading1"/>
      </w:pPr>
      <w:r>
        <w:t>19. Architecture Decisions Locked by This Document</w:t>
      </w:r>
    </w:p>
    <w:tbl>
      <w:tblPr>
        <w:tblStyle w:val="TableGrid"/>
        <w:tblW w:w="0" w:type="auto"/>
        <w:jc w:val="center"/>
        <w:tblLook w:val="04A0" w:firstRow="1" w:lastRow="0" w:firstColumn="1" w:lastColumn="0" w:noHBand="0" w:noVBand="1"/>
      </w:tblPr>
      <w:tblGrid>
        <w:gridCol w:w="1710"/>
        <w:gridCol w:w="8370"/>
      </w:tblGrid>
      <w:tr w:rsidR="00632D2B" w14:paraId="20B7BFA7" w14:textId="77777777" w:rsidTr="002777F9">
        <w:trPr>
          <w:jc w:val="center"/>
        </w:trPr>
        <w:tc>
          <w:tcPr>
            <w:tcW w:w="1710" w:type="dxa"/>
            <w:shd w:val="clear" w:color="auto" w:fill="173768"/>
            <w:vAlign w:val="center"/>
          </w:tcPr>
          <w:p w14:paraId="025BDFA7" w14:textId="77777777" w:rsidR="00632D2B" w:rsidRDefault="00000000">
            <w:r>
              <w:rPr>
                <w:b/>
                <w:color w:val="FFFFFF"/>
                <w:sz w:val="18"/>
              </w:rPr>
              <w:t>Decision ID</w:t>
            </w:r>
          </w:p>
        </w:tc>
        <w:tc>
          <w:tcPr>
            <w:tcW w:w="8370" w:type="dxa"/>
            <w:shd w:val="clear" w:color="auto" w:fill="173768"/>
            <w:vAlign w:val="center"/>
          </w:tcPr>
          <w:p w14:paraId="199FC0E5" w14:textId="77777777" w:rsidR="00632D2B" w:rsidRDefault="00000000">
            <w:r>
              <w:rPr>
                <w:b/>
                <w:color w:val="FFFFFF"/>
                <w:sz w:val="18"/>
              </w:rPr>
              <w:t>Locked Decision</w:t>
            </w:r>
          </w:p>
        </w:tc>
      </w:tr>
      <w:tr w:rsidR="00632D2B" w14:paraId="09D2A9CB" w14:textId="77777777" w:rsidTr="002777F9">
        <w:trPr>
          <w:jc w:val="center"/>
        </w:trPr>
        <w:tc>
          <w:tcPr>
            <w:tcW w:w="1710" w:type="dxa"/>
            <w:vAlign w:val="center"/>
          </w:tcPr>
          <w:p w14:paraId="44402576" w14:textId="77777777" w:rsidR="00632D2B" w:rsidRDefault="00000000">
            <w:r>
              <w:rPr>
                <w:sz w:val="18"/>
              </w:rPr>
              <w:t>AD-01</w:t>
            </w:r>
          </w:p>
        </w:tc>
        <w:tc>
          <w:tcPr>
            <w:tcW w:w="8370" w:type="dxa"/>
            <w:vAlign w:val="center"/>
          </w:tcPr>
          <w:p w14:paraId="6BE9F7C1" w14:textId="77777777" w:rsidR="00632D2B" w:rsidRDefault="00000000">
            <w:r>
              <w:rPr>
                <w:sz w:val="18"/>
              </w:rPr>
              <w:t>MedNexus is a Medical Document Intelligence platform, not an OpenMed wrapper.</w:t>
            </w:r>
          </w:p>
        </w:tc>
      </w:tr>
      <w:tr w:rsidR="00632D2B" w14:paraId="3A9B1F06" w14:textId="77777777" w:rsidTr="002777F9">
        <w:trPr>
          <w:jc w:val="center"/>
        </w:trPr>
        <w:tc>
          <w:tcPr>
            <w:tcW w:w="1710" w:type="dxa"/>
            <w:shd w:val="clear" w:color="auto" w:fill="F3F6FA"/>
            <w:vAlign w:val="center"/>
          </w:tcPr>
          <w:p w14:paraId="71C87BD4" w14:textId="77777777" w:rsidR="00632D2B" w:rsidRDefault="00000000">
            <w:r>
              <w:rPr>
                <w:sz w:val="18"/>
              </w:rPr>
              <w:t>AD-02</w:t>
            </w:r>
          </w:p>
        </w:tc>
        <w:tc>
          <w:tcPr>
            <w:tcW w:w="8370" w:type="dxa"/>
            <w:shd w:val="clear" w:color="auto" w:fill="F3F6FA"/>
            <w:vAlign w:val="center"/>
          </w:tcPr>
          <w:p w14:paraId="33435EDD" w14:textId="77777777" w:rsidR="00632D2B" w:rsidRDefault="00000000">
            <w:r>
              <w:rPr>
                <w:sz w:val="18"/>
              </w:rPr>
              <w:t>OpenMed remains the first de-identification engine and must stay behind an adapter.</w:t>
            </w:r>
          </w:p>
        </w:tc>
      </w:tr>
      <w:tr w:rsidR="00632D2B" w14:paraId="26B194BC" w14:textId="77777777" w:rsidTr="002777F9">
        <w:trPr>
          <w:jc w:val="center"/>
        </w:trPr>
        <w:tc>
          <w:tcPr>
            <w:tcW w:w="1710" w:type="dxa"/>
            <w:vAlign w:val="center"/>
          </w:tcPr>
          <w:p w14:paraId="6C0201BE" w14:textId="77777777" w:rsidR="00632D2B" w:rsidRDefault="00000000">
            <w:r>
              <w:rPr>
                <w:sz w:val="18"/>
              </w:rPr>
              <w:t>AD-03</w:t>
            </w:r>
          </w:p>
        </w:tc>
        <w:tc>
          <w:tcPr>
            <w:tcW w:w="8370" w:type="dxa"/>
            <w:vAlign w:val="center"/>
          </w:tcPr>
          <w:p w14:paraId="2409CAB0" w14:textId="77777777" w:rsidR="00632D2B" w:rsidRDefault="00000000">
            <w:r>
              <w:rPr>
                <w:sz w:val="18"/>
              </w:rPr>
              <w:t>The platform will use multiple open-source engines selected through a governed model/engine layer.</w:t>
            </w:r>
          </w:p>
        </w:tc>
      </w:tr>
      <w:tr w:rsidR="00632D2B" w14:paraId="5C584B6D" w14:textId="77777777" w:rsidTr="002777F9">
        <w:trPr>
          <w:jc w:val="center"/>
        </w:trPr>
        <w:tc>
          <w:tcPr>
            <w:tcW w:w="1710" w:type="dxa"/>
            <w:shd w:val="clear" w:color="auto" w:fill="F3F6FA"/>
            <w:vAlign w:val="center"/>
          </w:tcPr>
          <w:p w14:paraId="05A3BF20" w14:textId="77777777" w:rsidR="00632D2B" w:rsidRDefault="00000000">
            <w:r>
              <w:rPr>
                <w:sz w:val="18"/>
              </w:rPr>
              <w:t>AD-04</w:t>
            </w:r>
          </w:p>
        </w:tc>
        <w:tc>
          <w:tcPr>
            <w:tcW w:w="8370" w:type="dxa"/>
            <w:shd w:val="clear" w:color="auto" w:fill="F3F6FA"/>
            <w:vAlign w:val="center"/>
          </w:tcPr>
          <w:p w14:paraId="75E7E565" w14:textId="77777777" w:rsidR="00632D2B" w:rsidRDefault="00000000">
            <w:r>
              <w:rPr>
                <w:sz w:val="18"/>
              </w:rPr>
              <w:t>Hybrid detection is mandatory; neither regex nor AI alone is the platform strategy.</w:t>
            </w:r>
          </w:p>
        </w:tc>
      </w:tr>
      <w:tr w:rsidR="00632D2B" w14:paraId="6F0E33F0" w14:textId="77777777" w:rsidTr="002777F9">
        <w:trPr>
          <w:jc w:val="center"/>
        </w:trPr>
        <w:tc>
          <w:tcPr>
            <w:tcW w:w="1710" w:type="dxa"/>
            <w:vAlign w:val="center"/>
          </w:tcPr>
          <w:p w14:paraId="425278A1" w14:textId="77777777" w:rsidR="00632D2B" w:rsidRDefault="00000000">
            <w:r>
              <w:rPr>
                <w:sz w:val="18"/>
              </w:rPr>
              <w:t>AD-05</w:t>
            </w:r>
          </w:p>
        </w:tc>
        <w:tc>
          <w:tcPr>
            <w:tcW w:w="8370" w:type="dxa"/>
            <w:vAlign w:val="center"/>
          </w:tcPr>
          <w:p w14:paraId="70EA7EC5" w14:textId="77777777" w:rsidR="00632D2B" w:rsidRDefault="00000000">
            <w:r>
              <w:rPr>
                <w:sz w:val="18"/>
              </w:rPr>
              <w:t>All detectors return one unified DetectedEntity contract.</w:t>
            </w:r>
          </w:p>
        </w:tc>
      </w:tr>
      <w:tr w:rsidR="00632D2B" w14:paraId="318347BB" w14:textId="77777777" w:rsidTr="002777F9">
        <w:trPr>
          <w:jc w:val="center"/>
        </w:trPr>
        <w:tc>
          <w:tcPr>
            <w:tcW w:w="1710" w:type="dxa"/>
            <w:shd w:val="clear" w:color="auto" w:fill="F3F6FA"/>
            <w:vAlign w:val="center"/>
          </w:tcPr>
          <w:p w14:paraId="0EEB7F71" w14:textId="77777777" w:rsidR="00632D2B" w:rsidRDefault="00000000">
            <w:r>
              <w:rPr>
                <w:sz w:val="18"/>
              </w:rPr>
              <w:t>AD-06</w:t>
            </w:r>
          </w:p>
        </w:tc>
        <w:tc>
          <w:tcPr>
            <w:tcW w:w="8370" w:type="dxa"/>
            <w:shd w:val="clear" w:color="auto" w:fill="F3F6FA"/>
            <w:vAlign w:val="center"/>
          </w:tcPr>
          <w:p w14:paraId="7B84D243" w14:textId="77777777" w:rsidR="00632D2B" w:rsidRDefault="00000000">
            <w:r>
              <w:rPr>
                <w:sz w:val="18"/>
              </w:rPr>
              <w:t>Policy transformation is separate from detection.</w:t>
            </w:r>
          </w:p>
        </w:tc>
      </w:tr>
      <w:tr w:rsidR="00632D2B" w14:paraId="6661E7A4" w14:textId="77777777" w:rsidTr="002777F9">
        <w:trPr>
          <w:jc w:val="center"/>
        </w:trPr>
        <w:tc>
          <w:tcPr>
            <w:tcW w:w="1710" w:type="dxa"/>
            <w:vAlign w:val="center"/>
          </w:tcPr>
          <w:p w14:paraId="1463A049" w14:textId="77777777" w:rsidR="00632D2B" w:rsidRDefault="00000000">
            <w:r>
              <w:rPr>
                <w:sz w:val="18"/>
              </w:rPr>
              <w:t>AD-07</w:t>
            </w:r>
          </w:p>
        </w:tc>
        <w:tc>
          <w:tcPr>
            <w:tcW w:w="8370" w:type="dxa"/>
            <w:vAlign w:val="center"/>
          </w:tcPr>
          <w:p w14:paraId="4D08D1B5" w14:textId="77777777" w:rsidR="00632D2B" w:rsidRDefault="00000000">
            <w:r>
              <w:rPr>
                <w:sz w:val="18"/>
              </w:rPr>
              <w:t>Canonical label variation belongs in configurable detection resources, not in PolicyTransformer.</w:t>
            </w:r>
          </w:p>
        </w:tc>
      </w:tr>
      <w:tr w:rsidR="00632D2B" w14:paraId="2FB1DF69" w14:textId="77777777" w:rsidTr="002777F9">
        <w:trPr>
          <w:jc w:val="center"/>
        </w:trPr>
        <w:tc>
          <w:tcPr>
            <w:tcW w:w="1710" w:type="dxa"/>
            <w:shd w:val="clear" w:color="auto" w:fill="F3F6FA"/>
            <w:vAlign w:val="center"/>
          </w:tcPr>
          <w:p w14:paraId="55006514" w14:textId="77777777" w:rsidR="00632D2B" w:rsidRDefault="00000000">
            <w:r>
              <w:rPr>
                <w:sz w:val="18"/>
              </w:rPr>
              <w:t>AD-08</w:t>
            </w:r>
          </w:p>
        </w:tc>
        <w:tc>
          <w:tcPr>
            <w:tcW w:w="8370" w:type="dxa"/>
            <w:shd w:val="clear" w:color="auto" w:fill="F3F6FA"/>
            <w:vAlign w:val="center"/>
          </w:tcPr>
          <w:p w14:paraId="0B329CB1" w14:textId="77777777" w:rsidR="00632D2B" w:rsidRDefault="00000000">
            <w:r>
              <w:rPr>
                <w:sz w:val="18"/>
              </w:rPr>
              <w:t>Document understanding precedes reliable large-scale extraction and analytics.</w:t>
            </w:r>
          </w:p>
        </w:tc>
      </w:tr>
      <w:tr w:rsidR="00632D2B" w14:paraId="5ED88F40" w14:textId="77777777" w:rsidTr="002777F9">
        <w:trPr>
          <w:jc w:val="center"/>
        </w:trPr>
        <w:tc>
          <w:tcPr>
            <w:tcW w:w="1710" w:type="dxa"/>
            <w:vAlign w:val="center"/>
          </w:tcPr>
          <w:p w14:paraId="55D47FF5" w14:textId="77777777" w:rsidR="00632D2B" w:rsidRDefault="00000000">
            <w:r>
              <w:rPr>
                <w:sz w:val="18"/>
              </w:rPr>
              <w:t>AD-09</w:t>
            </w:r>
          </w:p>
        </w:tc>
        <w:tc>
          <w:tcPr>
            <w:tcW w:w="8370" w:type="dxa"/>
            <w:vAlign w:val="center"/>
          </w:tcPr>
          <w:p w14:paraId="543DB86A" w14:textId="77777777" w:rsidR="00632D2B" w:rsidRDefault="00000000">
            <w:r>
              <w:rPr>
                <w:sz w:val="18"/>
              </w:rPr>
              <w:t>Analytics must be produced from structured, validated, traceable data.</w:t>
            </w:r>
          </w:p>
        </w:tc>
      </w:tr>
      <w:tr w:rsidR="00632D2B" w14:paraId="75635B8C" w14:textId="77777777" w:rsidTr="002777F9">
        <w:trPr>
          <w:jc w:val="center"/>
        </w:trPr>
        <w:tc>
          <w:tcPr>
            <w:tcW w:w="1710" w:type="dxa"/>
            <w:shd w:val="clear" w:color="auto" w:fill="F3F6FA"/>
            <w:vAlign w:val="center"/>
          </w:tcPr>
          <w:p w14:paraId="34FC74CD" w14:textId="77777777" w:rsidR="00632D2B" w:rsidRDefault="00000000">
            <w:r>
              <w:rPr>
                <w:sz w:val="18"/>
              </w:rPr>
              <w:t>AD-10</w:t>
            </w:r>
          </w:p>
        </w:tc>
        <w:tc>
          <w:tcPr>
            <w:tcW w:w="8370" w:type="dxa"/>
            <w:shd w:val="clear" w:color="auto" w:fill="F3F6FA"/>
            <w:vAlign w:val="center"/>
          </w:tcPr>
          <w:p w14:paraId="54199B30" w14:textId="77777777" w:rsidR="00632D2B" w:rsidRDefault="00000000">
            <w:r>
              <w:rPr>
                <w:sz w:val="18"/>
              </w:rPr>
              <w:t>On-premise/offline privacy remains a core deployment requirement.</w:t>
            </w:r>
          </w:p>
        </w:tc>
      </w:tr>
      <w:tr w:rsidR="00632D2B" w14:paraId="343EAA61" w14:textId="77777777" w:rsidTr="002777F9">
        <w:trPr>
          <w:jc w:val="center"/>
        </w:trPr>
        <w:tc>
          <w:tcPr>
            <w:tcW w:w="1710" w:type="dxa"/>
            <w:vAlign w:val="center"/>
          </w:tcPr>
          <w:p w14:paraId="7FBC0543" w14:textId="77777777" w:rsidR="00632D2B" w:rsidRDefault="00000000">
            <w:r>
              <w:rPr>
                <w:sz w:val="18"/>
              </w:rPr>
              <w:t>AD-11</w:t>
            </w:r>
          </w:p>
        </w:tc>
        <w:tc>
          <w:tcPr>
            <w:tcW w:w="8370" w:type="dxa"/>
            <w:vAlign w:val="center"/>
          </w:tcPr>
          <w:p w14:paraId="6B22E1D5" w14:textId="77777777" w:rsidR="00632D2B" w:rsidRDefault="00000000">
            <w:r>
              <w:rPr>
                <w:sz w:val="18"/>
              </w:rPr>
              <w:t>The existing codebase will be refactored and extended; the project will not restart.</w:t>
            </w:r>
          </w:p>
        </w:tc>
      </w:tr>
      <w:tr w:rsidR="00632D2B" w14:paraId="7B57DD44" w14:textId="77777777" w:rsidTr="002777F9">
        <w:trPr>
          <w:jc w:val="center"/>
        </w:trPr>
        <w:tc>
          <w:tcPr>
            <w:tcW w:w="1710" w:type="dxa"/>
            <w:shd w:val="clear" w:color="auto" w:fill="F3F6FA"/>
            <w:vAlign w:val="center"/>
          </w:tcPr>
          <w:p w14:paraId="631B2AC5" w14:textId="77777777" w:rsidR="00632D2B" w:rsidRDefault="00000000">
            <w:r>
              <w:rPr>
                <w:sz w:val="18"/>
              </w:rPr>
              <w:t>AD-12</w:t>
            </w:r>
          </w:p>
        </w:tc>
        <w:tc>
          <w:tcPr>
            <w:tcW w:w="8370" w:type="dxa"/>
            <w:shd w:val="clear" w:color="auto" w:fill="F3F6FA"/>
            <w:vAlign w:val="center"/>
          </w:tcPr>
          <w:p w14:paraId="2444B81C" w14:textId="77777777" w:rsidR="00632D2B" w:rsidRDefault="00000000">
            <w:r>
              <w:rPr>
                <w:sz w:val="18"/>
              </w:rPr>
              <w:t>No report-specific patch is accepted unless it fits the declared detector, validation, policy, or terminology architecture.</w:t>
            </w:r>
          </w:p>
        </w:tc>
      </w:tr>
      <w:tr w:rsidR="001E093A" w14:paraId="073A5651" w14:textId="77777777" w:rsidTr="002777F9">
        <w:trPr>
          <w:jc w:val="center"/>
        </w:trPr>
        <w:tc>
          <w:tcPr>
            <w:tcW w:w="1710" w:type="dxa"/>
            <w:vAlign w:val="center"/>
          </w:tcPr>
          <w:p w14:paraId="42F59A81" w14:textId="7AD4AA3B" w:rsidR="001E093A" w:rsidRDefault="001E093A">
            <w:pPr>
              <w:rPr>
                <w:sz w:val="18"/>
              </w:rPr>
            </w:pPr>
            <w:r>
              <w:rPr>
                <w:sz w:val="18"/>
              </w:rPr>
              <w:t>AD-13</w:t>
            </w:r>
          </w:p>
        </w:tc>
        <w:tc>
          <w:tcPr>
            <w:tcW w:w="8370" w:type="dxa"/>
            <w:vAlign w:val="center"/>
          </w:tcPr>
          <w:p w14:paraId="63351A2F" w14:textId="6B22103F" w:rsidR="001E093A" w:rsidRDefault="001E093A" w:rsidP="001E093A">
            <w:pPr>
              <w:rPr>
                <w:sz w:val="18"/>
              </w:rPr>
            </w:pPr>
            <w:r w:rsidRPr="001E093A">
              <w:rPr>
                <w:sz w:val="18"/>
              </w:rPr>
              <w:t>External open-source technologies must be classified as Reference Implementations, Candidate Components or Engines, or Benchmark Comparators before use.</w:t>
            </w:r>
          </w:p>
        </w:tc>
      </w:tr>
      <w:tr w:rsidR="001E093A" w14:paraId="385346D7" w14:textId="77777777" w:rsidTr="002777F9">
        <w:trPr>
          <w:jc w:val="center"/>
        </w:trPr>
        <w:tc>
          <w:tcPr>
            <w:tcW w:w="1710" w:type="dxa"/>
            <w:shd w:val="clear" w:color="auto" w:fill="F3F6FA"/>
            <w:vAlign w:val="center"/>
          </w:tcPr>
          <w:p w14:paraId="0FC07D07" w14:textId="6B1D81BE" w:rsidR="001E093A" w:rsidRDefault="001E093A">
            <w:pPr>
              <w:rPr>
                <w:sz w:val="18"/>
              </w:rPr>
            </w:pPr>
            <w:r>
              <w:rPr>
                <w:sz w:val="18"/>
              </w:rPr>
              <w:t>AD-14</w:t>
            </w:r>
          </w:p>
        </w:tc>
        <w:tc>
          <w:tcPr>
            <w:tcW w:w="8370" w:type="dxa"/>
            <w:shd w:val="clear" w:color="auto" w:fill="F3F6FA"/>
            <w:vAlign w:val="center"/>
          </w:tcPr>
          <w:p w14:paraId="66893215" w14:textId="1C14CCDC" w:rsidR="001E093A" w:rsidRDefault="001E093A" w:rsidP="001E093A">
            <w:pPr>
              <w:rPr>
                <w:sz w:val="18"/>
              </w:rPr>
            </w:pPr>
            <w:r w:rsidRPr="001E093A">
              <w:rPr>
                <w:sz w:val="18"/>
              </w:rPr>
              <w:t>MedNexus remains the orchestrator and owner of public contracts, privacy policies, entity taxonomy, detection merging, audit, routing, and clinical validation, regardless of the external engines integrated.</w:t>
            </w:r>
          </w:p>
        </w:tc>
      </w:tr>
      <w:tr w:rsidR="001E093A" w14:paraId="200C2C63" w14:textId="77777777" w:rsidTr="002777F9">
        <w:trPr>
          <w:jc w:val="center"/>
        </w:trPr>
        <w:tc>
          <w:tcPr>
            <w:tcW w:w="1710" w:type="dxa"/>
            <w:vAlign w:val="center"/>
          </w:tcPr>
          <w:p w14:paraId="0EB33C8D" w14:textId="155D0ADB" w:rsidR="001E093A" w:rsidRDefault="001E093A">
            <w:pPr>
              <w:rPr>
                <w:sz w:val="18"/>
              </w:rPr>
            </w:pPr>
            <w:r>
              <w:rPr>
                <w:sz w:val="18"/>
              </w:rPr>
              <w:t>AD-15</w:t>
            </w:r>
          </w:p>
        </w:tc>
        <w:tc>
          <w:tcPr>
            <w:tcW w:w="8370" w:type="dxa"/>
            <w:vAlign w:val="center"/>
          </w:tcPr>
          <w:p w14:paraId="0D26AECA" w14:textId="11C735EF" w:rsidR="001E093A" w:rsidRDefault="001E093A" w:rsidP="001E093A">
            <w:pPr>
              <w:rPr>
                <w:sz w:val="18"/>
              </w:rPr>
            </w:pPr>
            <w:r w:rsidRPr="001E093A">
              <w:rPr>
                <w:sz w:val="18"/>
              </w:rPr>
              <w:t>No external component may be integrated before license, security, offline capability, provenance, accuracy, privacy, performance, language, maintenance, and regression evaluation.</w:t>
            </w:r>
          </w:p>
        </w:tc>
      </w:tr>
      <w:tr w:rsidR="001E093A" w14:paraId="1A31CD93" w14:textId="77777777" w:rsidTr="002777F9">
        <w:trPr>
          <w:jc w:val="center"/>
        </w:trPr>
        <w:tc>
          <w:tcPr>
            <w:tcW w:w="1710" w:type="dxa"/>
            <w:shd w:val="clear" w:color="auto" w:fill="F3F6FA"/>
            <w:vAlign w:val="center"/>
          </w:tcPr>
          <w:p w14:paraId="2E58DDF0" w14:textId="6978B285" w:rsidR="001E093A" w:rsidRDefault="001E093A">
            <w:pPr>
              <w:rPr>
                <w:sz w:val="18"/>
              </w:rPr>
            </w:pPr>
            <w:r>
              <w:rPr>
                <w:sz w:val="18"/>
              </w:rPr>
              <w:t>AD-16</w:t>
            </w:r>
          </w:p>
        </w:tc>
        <w:tc>
          <w:tcPr>
            <w:tcW w:w="8370" w:type="dxa"/>
            <w:shd w:val="clear" w:color="auto" w:fill="F3F6FA"/>
            <w:vAlign w:val="center"/>
          </w:tcPr>
          <w:p w14:paraId="22470905" w14:textId="29E7B6B8" w:rsidR="001E093A" w:rsidRDefault="001E093A" w:rsidP="001E093A">
            <w:pPr>
              <w:rPr>
                <w:sz w:val="18"/>
              </w:rPr>
            </w:pPr>
            <w:r w:rsidRPr="001E093A">
              <w:rPr>
                <w:sz w:val="18"/>
              </w:rPr>
              <w:t>MedNexus will study external design patterns and evaluation methods but will not adopt uncontrolled copy-paste architecture.</w:t>
            </w:r>
          </w:p>
        </w:tc>
      </w:tr>
      <w:tr w:rsidR="001E093A" w14:paraId="5B6646EA" w14:textId="77777777" w:rsidTr="002777F9">
        <w:trPr>
          <w:jc w:val="center"/>
        </w:trPr>
        <w:tc>
          <w:tcPr>
            <w:tcW w:w="1710" w:type="dxa"/>
            <w:vAlign w:val="center"/>
          </w:tcPr>
          <w:p w14:paraId="7D83AF34" w14:textId="0E5084EC" w:rsidR="001E093A" w:rsidRDefault="001E093A">
            <w:pPr>
              <w:rPr>
                <w:sz w:val="18"/>
              </w:rPr>
            </w:pPr>
            <w:r>
              <w:rPr>
                <w:sz w:val="18"/>
              </w:rPr>
              <w:t>AD-17</w:t>
            </w:r>
          </w:p>
        </w:tc>
        <w:tc>
          <w:tcPr>
            <w:tcW w:w="8370" w:type="dxa"/>
            <w:vAlign w:val="center"/>
          </w:tcPr>
          <w:p w14:paraId="3FE55121" w14:textId="3A0423F6" w:rsidR="001E093A" w:rsidRDefault="00804015" w:rsidP="00804015">
            <w:pPr>
              <w:rPr>
                <w:sz w:val="18"/>
              </w:rPr>
            </w:pPr>
            <w:r w:rsidRPr="00804015">
              <w:rPr>
                <w:sz w:val="18"/>
              </w:rPr>
              <w:t>Promising external technologies must be recorded in the Technology Evaluation Backlog and reviewed at defined roadmap gates rather than interrupting active development stages.</w:t>
            </w:r>
          </w:p>
        </w:tc>
      </w:tr>
      <w:tr w:rsidR="001E093A" w14:paraId="4026DFDE" w14:textId="77777777" w:rsidTr="002777F9">
        <w:trPr>
          <w:jc w:val="center"/>
        </w:trPr>
        <w:tc>
          <w:tcPr>
            <w:tcW w:w="1710" w:type="dxa"/>
            <w:shd w:val="clear" w:color="auto" w:fill="F3F6FA"/>
            <w:vAlign w:val="center"/>
          </w:tcPr>
          <w:p w14:paraId="439A66A7" w14:textId="6736C83B" w:rsidR="001E093A" w:rsidRDefault="001E093A">
            <w:pPr>
              <w:rPr>
                <w:sz w:val="18"/>
              </w:rPr>
            </w:pPr>
            <w:r>
              <w:rPr>
                <w:sz w:val="18"/>
              </w:rPr>
              <w:t>AD-18</w:t>
            </w:r>
          </w:p>
        </w:tc>
        <w:tc>
          <w:tcPr>
            <w:tcW w:w="8370" w:type="dxa"/>
            <w:shd w:val="clear" w:color="auto" w:fill="F3F6FA"/>
            <w:vAlign w:val="center"/>
          </w:tcPr>
          <w:p w14:paraId="1560DDBA" w14:textId="41A8ABD3" w:rsidR="001E093A" w:rsidRDefault="00804015" w:rsidP="00804015">
            <w:pPr>
              <w:rPr>
                <w:sz w:val="18"/>
              </w:rPr>
            </w:pPr>
            <w:r w:rsidRPr="00804015">
              <w:rPr>
                <w:sz w:val="18"/>
              </w:rPr>
              <w:t>After completion of Stage 2, MedNexus must conduct the first formal Open-Source Technology Evaluation Gate before selecting technologies for Document Understanding, Detection Orchestration enhancement, or Clinical NLP.</w:t>
            </w:r>
          </w:p>
        </w:tc>
      </w:tr>
      <w:tr>
        <w:tc>
          <w:tcPr>
            <w:tcW w:type="dxa" w:w="1710"/>
          </w:tcPr>
          <w:p>
            <w:r>
              <w:t>AD-19</w:t>
            </w:r>
          </w:p>
        </w:tc>
        <w:tc>
          <w:tcPr>
            <w:tcW w:type="dxa" w:w="8370"/>
          </w:tcPr>
          <w:p>
            <w:r>
              <w:t>Purpose-of-use policies and regulatory frameworks remain separate; custom policies reuse the unified privacy pipeline.</w:t>
            </w:r>
          </w:p>
        </w:tc>
      </w:tr>
      <w:tr>
        <w:tc>
          <w:tcPr>
            <w:tcW w:type="dxa" w:w="1710"/>
          </w:tcPr>
          <w:p>
            <w:r>
              <w:t>AD-20</w:t>
            </w:r>
          </w:p>
        </w:tc>
        <w:tc>
          <w:tcPr>
            <w:tcW w:type="dxa" w:w="8370"/>
          </w:tcPr>
          <w:p>
            <w:r>
              <w:t>Only KEEP, REPLACE, HASH, MASK, and REMOVE are currently implemented; advanced transformations and privacy/utility risk capabilities remain planned until genuinely implemented and validated.</w:t>
            </w:r>
          </w:p>
        </w:tc>
      </w:tr>
    </w:tbl>
    <w:p w14:paraId="74D06466" w14:textId="77777777" w:rsidR="00632D2B" w:rsidRDefault="00632D2B"/>
    <w:p>
      <w:pPr>
        <w:pStyle w:val="Heading1"/>
      </w:pPr>
      <w:r>
        <w:t>19.1 Revision 1.2 — Current De-identification Baseline</w:t>
      </w:r>
    </w:p>
    <w:p>
      <w:r>
        <w:t>As of 10 August 2026, MedNexus De-identification is a purpose-based Clinical Privacy Policy Engine. PolicyRule and PolicyDefinition support four canonical profiles: MEDNEXUS_CLINICAL, MEDNEXUS_RESEARCH, MEDNEXUS_ANALYTICS_PUBLIC_HEALTH, and MEDNEXUS_STRICT_PRIVACY. Implemented transformations are KEEP, REPLACE, HASH, MASK, and REMOVE. GENERALIZE, SHIFT_DATE, age/age-band derivation, geographic generalization, pseudonymization/tokenization, Privacy–Utility assessment, Residual Re-identification Risk assessment, and the Custom Policy Builder are planned, not implemented. The future model must distinguish direct identifiers, quasi-identifiers, clinical attributes, and contextual or analytical attributes. Purpose-of-use policies remain conceptually separate from regulatory frameworks, and custom policies must reuse the unified pipeline.</w:t>
      </w:r>
    </w:p>
    <w:p w14:paraId="79A89011" w14:textId="77777777" w:rsidR="00632D2B" w:rsidRDefault="00000000">
      <w:pPr>
        <w:pStyle w:val="Heading1"/>
      </w:pPr>
      <w:r>
        <w:t>20. Conclusion</w:t>
      </w:r>
    </w:p>
    <w:p w14:paraId="52ABD57C" w14:textId="77777777" w:rsidR="00632D2B" w:rsidRDefault="00000000">
      <w:r>
        <w:t>The project is coherent and viable. The confusion arose from mixing three different things: MedNexus-authored code, external engines and libraries, and generated local runtime artifacts. All three matter, but they are governed differently.</w:t>
      </w:r>
    </w:p>
    <w:p w14:paraId="2529D2E3" w14:textId="77777777" w:rsidR="00632D2B" w:rsidRDefault="00000000">
      <w:r>
        <w:t>MedNexus now contains a validated Clinical Privacy Policy Engine and an implemented TXT/DOCX/text-based PDF ingestion path. The next immediate milestone is the Frontend Redesign / Policy Experience. The planned Custom Policy Builder is a major product differentiator, but it must configure the same unified pipeline rather than create a parallel privacy path.</w:t>
      </w:r>
    </w:p>
    <w:p w14:paraId="508C03F7" w14:textId="77777777" w:rsidR="00632D2B" w:rsidRDefault="00000000">
      <w:r>
        <w:lastRenderedPageBreak/>
        <w:t>This document is the baseline reference for the next MedNexus implementation steps. Changes to the product vision or major architectural direction should be explicit, documented, and justified rather than emerging indirectly from individual report bugs.</w:t>
      </w:r>
    </w:p>
    <w:p w14:paraId="24D63395" w14:textId="577731FE" w:rsidR="00ED0E0D" w:rsidRDefault="00ED0E0D" w:rsidP="00ED0E0D">
      <w:r>
        <w:t>Stage 1 Exit Criteria</w:t>
      </w:r>
    </w:p>
    <w:p w14:paraId="4885B3C5" w14:textId="77777777" w:rsidR="00ED0E0D" w:rsidRDefault="00ED0E0D" w:rsidP="00ED0E0D">
      <w:r>
        <w:rPr>
          <w:rFonts w:ascii="Segoe UI Symbol" w:hAnsi="Segoe UI Symbol" w:cs="Segoe UI Symbol"/>
        </w:rPr>
        <w:t>✔</w:t>
      </w:r>
      <w:r>
        <w:t xml:space="preserve"> Unified Detection Contract</w:t>
      </w:r>
    </w:p>
    <w:p w14:paraId="4C4E61D6" w14:textId="77777777" w:rsidR="00ED0E0D" w:rsidRDefault="00ED0E0D" w:rsidP="00ED0E0D">
      <w:r>
        <w:rPr>
          <w:rFonts w:ascii="Segoe UI Symbol" w:hAnsi="Segoe UI Symbol" w:cs="Segoe UI Symbol"/>
        </w:rPr>
        <w:t>✔</w:t>
      </w:r>
      <w:r>
        <w:t xml:space="preserve"> Clinical Vocabulary Framework</w:t>
      </w:r>
    </w:p>
    <w:p w14:paraId="760C1D57" w14:textId="77777777" w:rsidR="00ED0E0D" w:rsidRDefault="00ED0E0D" w:rsidP="00ED0E0D">
      <w:r>
        <w:rPr>
          <w:rFonts w:ascii="Segoe UI Symbol" w:hAnsi="Segoe UI Symbol" w:cs="Segoe UI Symbol"/>
        </w:rPr>
        <w:t>✔</w:t>
      </w:r>
      <w:r>
        <w:t xml:space="preserve"> Stable Policy Pipeline</w:t>
      </w:r>
    </w:p>
    <w:p w14:paraId="49CE8133" w14:textId="77777777" w:rsidR="00ED0E0D" w:rsidRDefault="00ED0E0D" w:rsidP="00ED0E0D">
      <w:r>
        <w:rPr>
          <w:rFonts w:ascii="Segoe UI Symbol" w:hAnsi="Segoe UI Symbol" w:cs="Segoe UI Symbol"/>
        </w:rPr>
        <w:t>✔</w:t>
      </w:r>
      <w:r>
        <w:t xml:space="preserve"> Stable Context Protection</w:t>
      </w:r>
    </w:p>
    <w:p w14:paraId="123F5F44" w14:textId="77777777" w:rsidR="00ED0E0D" w:rsidRDefault="00ED0E0D" w:rsidP="00ED0E0D">
      <w:r>
        <w:t>✔ Historical baseline superseded by current regression baseline: 671 tests passed</w:t>
      </w:r>
    </w:p>
    <w:p w14:paraId="774718FC" w14:textId="24367019" w:rsidR="00ED0E0D" w:rsidRDefault="00ED0E0D" w:rsidP="00ED0E0D">
      <w:r>
        <w:rPr>
          <w:rFonts w:ascii="Segoe UI Symbol" w:hAnsi="Segoe UI Symbol" w:cs="Segoe UI Symbol"/>
        </w:rPr>
        <w:t>✔</w:t>
      </w:r>
      <w:r>
        <w:t xml:space="preserve"> Baseline Frozen</w:t>
      </w:r>
    </w:p>
    <w:p>
      <w:r>
        <w:br w:type="page"/>
      </w:r>
    </w:p>
    <w:p>
      <w:pPr>
        <w:pStyle w:val="Heading1"/>
      </w:pPr>
      <w:r>
        <w:t>Architecture Baseline Update — 12 August 2026</w:t>
      </w:r>
    </w:p>
    <w:p>
      <w:r>
        <w:rPr>
          <w:b/>
        </w:rPr>
        <w:t xml:space="preserve">Version 1.3 status. </w:t>
      </w:r>
      <w:r>
        <w:t>This update defines MedNexus as an Enterprise Medical Document Intelligence Platform and records the current implemented boundary. It supersedes conflicting current-state language without changing historical evidence in version 1.2.</w:t>
      </w:r>
    </w:p>
    <w:p>
      <w:pPr>
        <w:pStyle w:val="Heading2"/>
        <w:spacing w:after="120"/>
      </w:pPr>
      <w:r>
        <w:t>Enterprise Vision and Medical Document Journey</w:t>
      </w:r>
    </w:p>
    <w:p>
      <w:pPr>
        <w:spacing w:after="120"/>
      </w:pPr>
      <w:r>
        <w:t>The enterprise target journey is: 01 Ingest → 02 Understand → 03 Protect → 04 Extract → 05 Standardize → 06 Analyze → 07 Visualize → 08 Indicators. These are target stages, not a claim that all stages are currently functional.</w:t>
      </w:r>
    </w:p>
    <w:p>
      <w:pPr>
        <w:spacing w:after="120"/>
      </w:pPr>
      <w:r>
        <w:t>MedNexus follows a modular-but-connected principle: each capability can operate independently while sharing contracts and context that allow it to participate in the complete document journey.</w:t>
      </w:r>
    </w:p>
    <w:p>
      <w:pPr>
        <w:pStyle w:val="Heading2"/>
        <w:spacing w:after="120"/>
      </w:pPr>
      <w:r>
        <w:t>Implemented Functional Module</w:t>
      </w:r>
    </w:p>
    <w:p>
      <w:pPr>
        <w:spacing w:after="120"/>
      </w:pPr>
      <w:r>
        <w:t>The current functional end-to-end POC is Medical Document Intelligence — Clinical Privacy Policy Engine / De-identification. It supports pasted text, TXT, DOCX, and text-based PDF. Scanned-PDF OCR is not implemented.</w:t>
      </w:r>
    </w:p>
    <w:p>
      <w:pPr>
        <w:spacing w:after="120"/>
      </w:pPr>
      <w:r>
        <w:t>Authoritative flow: document/text ingestion and extraction → MedNexus context and protection layers → deterministic identifier detection plus OpenMed candidates → MedNexus candidate canonicalization → role resolution → context validation → conflict/overlap merging → purpose-based Clinical Privacy Policy Engine → MedNexusOutputBuilder → MedNexus-owned protected output.</w:t>
      </w:r>
    </w:p>
    <w:p>
      <w:pPr>
        <w:spacing w:after="120"/>
      </w:pPr>
      <w:r>
        <w:t>OpenMed is external, replaceable, and candidate-only. Its deidentified_text is non-authoritative. MedNexus owns contextual interpretation, canonicalization, role resolution, validation, false-positive handling, merge decisions, privacy decisions, and final output construction.</w:t>
      </w:r>
    </w:p>
    <w:p>
      <w:pPr>
        <w:pStyle w:val="Heading2"/>
        <w:spacing w:after="120"/>
      </w:pPr>
      <w:r>
        <w:t>Purpose-Based Privacy Boundary</w:t>
      </w:r>
    </w:p>
    <w:p>
      <w:pPr>
        <w:spacing w:after="120"/>
      </w:pPr>
      <w:r>
        <w:t>Canonical profiles are MEDNEXUS_CLINICAL, MEDNEXUS_RESEARCH, MEDNEXUS_ANALYTICS_PUBLIC_HEALTH, and MEDNEXUS_STRICT_PRIVACY. Implemented actions are KEEP, REPLACE, HASH, MASK, and REMOVE. Advanced generalization, date shifting, derivation, geographic reduction, pseudonymization/tokenization, risk assessment, and the Custom Policy Builder remain planned.</w:t>
      </w:r>
    </w:p>
    <w:p>
      <w:pPr>
        <w:pStyle w:val="Heading2"/>
        <w:spacing w:after="120"/>
      </w:pPr>
      <w:r>
        <w:t>Product and Domain Architecture</w:t>
      </w:r>
    </w:p>
    <w:p>
      <w:pPr>
        <w:spacing w:after="120"/>
      </w:pPr>
      <w:r>
        <w:t>The current frontend exposes /app as the MedNexus Enterprise Medical Document Intelligence homepage and /privacy as the functional Clinical Privacy Policy Engine POC. The Deep Teal Hybrid experience, cinematic document journey, and eight-stage narrative are an accepted working baseline, not final visual or brand polish.</w:t>
      </w:r>
    </w:p>
    <w:p>
      <w:pPr>
        <w:spacing w:after="120"/>
      </w:pPr>
      <w:r>
        <w:t>Public Health Intelligence is active parallel domain work aligned to document → understanding → protection → extraction → standardization → analysis → dashboard → indicators. It retains domain-specific schemas, analytics, and indicators and must not be represented as production-complete without supporting implementation and validation evidence.</w:t>
      </w:r>
    </w:p>
    <w:p>
      <w:pPr>
        <w:pStyle w:val="Heading2"/>
        <w:spacing w:after="120"/>
      </w:pPr>
      <w:r>
        <w:t>Current Status and Immediate Milestone</w:t>
      </w:r>
    </w:p>
    <w:p>
      <w:pPr>
        <w:spacing w:after="120"/>
      </w:pPr>
      <w:r>
        <w:rPr>
          <w:b/>
        </w:rPr>
        <w:t xml:space="preserve">Clinical Privacy Policy Engine Phase 1: </w:t>
      </w:r>
      <w:r>
        <w:t>functionally complete end-to-end POC, pending final real-document acceptance validation.</w:t>
      </w:r>
    </w:p>
    <w:p>
      <w:pPr>
        <w:spacing w:after="120"/>
      </w:pPr>
      <w:r>
        <w:t>Immediate next milestone: validate representative real medical reports across purpose profiles, address confirmed privacy leaks, false positives, or policy mismatches, rerun the appropriate regression suite, and freeze the verified Phase 1 baseline only after acceptance.</w:t>
      </w:r>
    </w:p>
    <w:p>
      <w:r>
        <w:br w:type="page"/>
      </w:r>
    </w:p>
    <w:p>
      <w:pPr>
        <w:pStyle w:val="Heading1"/>
      </w:pPr>
      <w:r>
        <w:t>Phase 1 Clinical Privacy Policy Engine — Accepted POC Checkpoint</w:t>
      </w:r>
    </w:p>
    <w:p>
      <w:r>
        <w:rPr>
          <w:b/>
        </w:rPr>
        <w:t xml:space="preserve">Checkpoint status: </w:t>
      </w:r>
      <w:r>
        <w:t>Phase 1 — Accepted POC Checkpoint / Paused. The architecture and current synthetic acceptance baseline are frozen; this is not production certification, exhaustive clinical validation, or a claim that all privacy edge cases are solved.</w:t>
      </w:r>
    </w:p>
    <w:p>
      <w:pPr>
        <w:pStyle w:val="Heading2"/>
      </w:pPr>
      <w:r>
        <w:t>Final Authoritative Architecture</w:t>
      </w:r>
    </w:p>
    <w:p>
      <w:pPr>
        <w:spacing w:after="120"/>
      </w:pPr>
      <w:r>
        <w:t>Medical document or text → supported extraction → MedNexus contextual and deterministic detection plus OpenMed external candidates → MedNexus candidate canonicalization → RoleResolver → ContextValidator → DetectionMerger and orchestration → purpose-based Clinical Privacy Policy Engine → MedNexusOutputBuilder → MedNexus-owned protected output.</w:t>
      </w:r>
    </w:p>
    <w:p>
      <w:pPr>
        <w:spacing w:after="120"/>
      </w:pPr>
      <w:r>
        <w:t>OpenMed remains external, replaceable, and candidate-only. Its deidentified_text is non-authoritative. MedNexus owns contextual interpretation, role resolution, validation, conflict decisions, policy actions, transformations, and final output construction.</w:t>
      </w:r>
    </w:p>
    <w:p>
      <w:pPr>
        <w:pStyle w:val="Heading2"/>
        <w:spacing w:after="120"/>
      </w:pPr>
      <w:r>
        <w:t>Purpose Profiles and Executable Actions</w:t>
      </w:r>
    </w:p>
    <w:p>
      <w:pPr>
        <w:spacing w:after="120"/>
      </w:pPr>
      <w:r>
        <w:t>Canonical profiles are MEDNEXUS_CLINICAL, MEDNEXUS_RESEARCH, MEDNEXUS_ANALYTICS_PUBLIC_HEALTH, and MEDNEXUS_STRICT_PRIVACY. Current executable actions are KEEP, REPLACE, HASH, MASK, and REMOVE. Advanced transformations remain planned.</w:t>
      </w:r>
    </w:p>
    <w:p>
      <w:pPr>
        <w:pStyle w:val="Heading2"/>
        <w:spacing w:after="120"/>
      </w:pPr>
      <w:r>
        <w:t>Final Targeted Acceptance Corrections</w:t>
      </w:r>
    </w:p>
    <w:p>
      <w:pPr>
        <w:spacing w:after="120"/>
      </w:pPr>
      <w:r>
        <w:t>Formatted international phone candidates now pass conservative validation when they contain an appropriate digit count and common separators, allowing the selected policy to protect values such as +123 456 7890.</w:t>
      </w:r>
    </w:p>
    <w:p>
      <w:pPr>
        <w:spacing w:after="120"/>
      </w:pPr>
      <w:r>
        <w:t>Explicit Reporting Physician, Admitting Consultant, and Consultant Pathologist contexts now feed clinician role resolution consistently. Professional labels and titles such as Dr. and د. remain outside the personal-name span; the purpose profile governs KEEP or transformation.</w:t>
      </w:r>
    </w:p>
    <w:p>
      <w:pPr>
        <w:spacing w:after="120"/>
      </w:pPr>
      <w:r>
        <w:t>Supported Arabic professional fields, including طبيب الأشعة and existing Arabic pathologist equivalents, now produce complete clinician-name spans so fragmented external candidates cannot cause partial identity transformation in the targeted scenarios.</w:t>
      </w:r>
    </w:p>
    <w:p>
      <w:pPr>
        <w:pStyle w:val="Heading2"/>
        <w:spacing w:after="120"/>
      </w:pPr>
      <w:r>
        <w:t>Synthetic Acceptance Baseline</w:t>
      </w:r>
    </w:p>
    <w:p>
      <w:pPr>
        <w:spacing w:after="120"/>
      </w:pPr>
      <w:r>
        <w:t>Targeted acceptance verification: 103 passed, 7 warnings.</w:t>
      </w:r>
    </w:p>
    <w:p>
      <w:pPr>
        <w:spacing w:after="120"/>
      </w:pPr>
      <w:r>
        <w:t>Full regression: 681 passed, 8 warnings, 0 failures.</w:t>
      </w:r>
    </w:p>
    <w:p>
      <w:pPr>
        <w:spacing w:after="120"/>
      </w:pPr>
      <w:r>
        <w:t>The engineering decision is to stop synthetic perfection loops after proving the architecture, fixing clear privacy blockers, preserving clinical meaning, and establishing regression protection.</w:t>
      </w:r>
    </w:p>
    <w:p>
      <w:pPr>
        <w:pStyle w:val="Heading2"/>
        <w:spacing w:after="120"/>
      </w:pPr>
      <w:r>
        <w:t>Deferred Validation and Product Boundary</w:t>
      </w:r>
    </w:p>
    <w:p>
      <w:pPr>
        <w:spacing w:after="120"/>
      </w:pPr>
      <w:r>
        <w:t>Broader real medical-report validation, additional cases discovered from real reports, broader multilingual clinician/person-name coverage, OCR, production hardening, load/performance validation, formal benchmark expansion, and remaining frontend polish are intentionally deferred.</w:t>
      </w:r>
    </w:p>
    <w:p>
      <w:pPr>
        <w:spacing w:after="120"/>
      </w:pPr>
      <w:r>
        <w:t>Future real-document validation is expected to reveal additional cases. The accepted POC checkpoint must not be represented as production readiness, exhaustive privacy coverage, clinical certification, or completed real-world acceptance.</w:t>
      </w:r>
    </w:p>
    <w:p>
      <w:pPr>
        <w:pStyle w:val="Heading1"/>
      </w:pPr>
      <w:r>
        <w:t>21. Phase 2 Foundation Checkpoint — 13 August 2026</w:t>
      </w:r>
    </w:p>
    <w:p>
      <w:r>
        <w:t>Status: FOUNDATION CHECKPOINT ACCEPTED at commit a1e8ff2. Accepted baseline: 714 passed, 8 warnings, 0 failures; focused Phase 2 hardening suite: 33 passed. No Phase 1 regression was introduced.</w:t>
      </w:r>
    </w:p>
    <w:p>
      <w:pPr>
        <w:pStyle w:val="Heading2"/>
      </w:pPr>
      <w:r>
        <w:t>21.1 Implemented UNDERSTAND Boundary</w:t>
      </w:r>
    </w:p>
    <w:p>
      <w:r>
        <w:t>Source File / Text → existing ExtractorFactory → existing DocumentContent → language detection → structural section detection → evidence-based document classification → confidence and decision evidence → symbolic downstream routing. UNDERSTAND is independently usable and does not depend on Phase 1 privacy internals.</w:t>
      </w:r>
    </w:p>
    <w:p>
      <w:r>
        <w:t>The deterministic, explainable POC supports Radiology, Pathology, Laboratory, Emergency, Admission/Discharge, Public Health, and Unknown; English, Arabic, Mixed, and Unknown language results; and conservative radiology subtypes. UNKNOWN and low confidence are valid and preferred over forced classification.</w:t>
      </w:r>
    </w:p>
    <w:p>
      <w:r>
        <w:t>Section detection is line-oriented, supports LF/CRLF and aliases, produces complete non-overlapping ranges, and supplies structural evidence to classification. It is not OCR-, layout-, or vision-based.</w:t>
      </w:r>
    </w:p>
    <w:p>
      <w:r>
        <w:t>Standalone APIs: POST /api/v1/understanding/analyze-text and POST /api/v1/understanding/analyze-file. Future extraction and terminology routes are symbolic recommendations only and do not imply implemented engines.</w:t>
      </w:r>
    </w:p>
    <w:p>
      <w:pPr>
        <w:pStyle w:val="Heading2"/>
      </w:pPr>
      <w:r>
        <w:t>21.2 Deliberate Deferred Scope and Next Milestone</w:t>
      </w:r>
    </w:p>
    <w:p>
      <w:r>
        <w:t>Deferred: OCR and scanned-document recognition, image/layout vision, table extraction, universal or ML/transformer/LLM classification, external classification services, embeddings/vector storage, advanced clinical extraction, FHIR, HL7, frontend/dashboard integration, and broad synthetic classifier tuning.</w:t>
      </w:r>
    </w:p>
    <w:p>
      <w:r>
        <w:t>Next milestone: Phase 2 Recognition Validation — Round 1, using a small representative set across supported domains and ambiguous/UNKNOWN cases before classifier or frontend expansion.</w:t>
      </w:r>
    </w:p>
    <w:sectPr w:rsidR="00ED0E0D"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BA89" w14:textId="77777777" w:rsidR="00620184" w:rsidRDefault="00620184">
      <w:pPr>
        <w:spacing w:after="0" w:line="240" w:lineRule="auto"/>
      </w:pPr>
      <w:r>
        <w:separator/>
      </w:r>
    </w:p>
  </w:endnote>
  <w:endnote w:type="continuationSeparator" w:id="0">
    <w:p w14:paraId="1F660129" w14:textId="77777777" w:rsidR="00620184" w:rsidRDefault="0062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AF3B" w14:textId="77777777" w:rsidR="00632D2B" w:rsidRDefault="00000000">
    <w:pPr>
      <w:pStyle w:val="Footer"/>
      <w:jc w:val="center"/>
    </w:pPr>
    <w:r>
      <w:fldChar w:fldCharType="begin"/>
    </w:r>
    <w:r>
      <w:instrText>PAGE</w:instrText>
    </w:r>
    <w:r>
      <w:fldChar w:fldCharType="separate"/>
    </w:r>
    <w:r w:rsidR="00A76E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C41F" w14:textId="77777777" w:rsidR="00620184" w:rsidRDefault="00620184">
      <w:pPr>
        <w:spacing w:after="0" w:line="240" w:lineRule="auto"/>
      </w:pPr>
      <w:r>
        <w:separator/>
      </w:r>
    </w:p>
  </w:footnote>
  <w:footnote w:type="continuationSeparator" w:id="0">
    <w:p w14:paraId="44805CD6" w14:textId="77777777" w:rsidR="00620184" w:rsidRDefault="00620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3252" w14:textId="77777777" w:rsidR="00632D2B" w:rsidRDefault="00000000">
    <w:pPr>
      <w:pStyle w:val="Header"/>
      <w:jc w:val="right"/>
    </w:pPr>
    <w:r>
      <w:rPr>
        <w:color w:val="646464"/>
        <w:sz w:val="16"/>
      </w:rPr>
      <w:t>MedNexus | Enterprise Architecture &amp; Engineering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762229">
    <w:abstractNumId w:val="8"/>
  </w:num>
  <w:num w:numId="2" w16cid:durableId="912009534">
    <w:abstractNumId w:val="6"/>
  </w:num>
  <w:num w:numId="3" w16cid:durableId="1031031908">
    <w:abstractNumId w:val="5"/>
  </w:num>
  <w:num w:numId="4" w16cid:durableId="1638487130">
    <w:abstractNumId w:val="4"/>
  </w:num>
  <w:num w:numId="5" w16cid:durableId="1086456396">
    <w:abstractNumId w:val="7"/>
  </w:num>
  <w:num w:numId="6" w16cid:durableId="1142885360">
    <w:abstractNumId w:val="3"/>
  </w:num>
  <w:num w:numId="7" w16cid:durableId="989678920">
    <w:abstractNumId w:val="2"/>
  </w:num>
  <w:num w:numId="8" w16cid:durableId="1782605646">
    <w:abstractNumId w:val="1"/>
  </w:num>
  <w:num w:numId="9" w16cid:durableId="186759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3A"/>
    <w:rsid w:val="002777F9"/>
    <w:rsid w:val="0029639D"/>
    <w:rsid w:val="002C5828"/>
    <w:rsid w:val="003073BF"/>
    <w:rsid w:val="00326F90"/>
    <w:rsid w:val="003823FE"/>
    <w:rsid w:val="00403BE7"/>
    <w:rsid w:val="00417AC3"/>
    <w:rsid w:val="005B09E3"/>
    <w:rsid w:val="005F4A79"/>
    <w:rsid w:val="006137B3"/>
    <w:rsid w:val="00620184"/>
    <w:rsid w:val="00632D2B"/>
    <w:rsid w:val="006C2190"/>
    <w:rsid w:val="00804015"/>
    <w:rsid w:val="00A76ED2"/>
    <w:rsid w:val="00AA1D8D"/>
    <w:rsid w:val="00AE45BA"/>
    <w:rsid w:val="00B45ED4"/>
    <w:rsid w:val="00B47730"/>
    <w:rsid w:val="00B9043D"/>
    <w:rsid w:val="00BA074C"/>
    <w:rsid w:val="00C24CA7"/>
    <w:rsid w:val="00CB0664"/>
    <w:rsid w:val="00CC3F17"/>
    <w:rsid w:val="00D152C7"/>
    <w:rsid w:val="00D97980"/>
    <w:rsid w:val="00E46FA7"/>
    <w:rsid w:val="00ED0E0D"/>
    <w:rsid w:val="00F33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92B02"/>
  <w14:defaultImageDpi w14:val="300"/>
  <w15:docId w15:val="{45A2A0C0-AA83-4B8F-8FD9-398A107E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76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7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7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rPr>
      <w:rFonts w:ascii="Aptos" w:hAnsi="Aptos"/>
      <w:color w:val="465A7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23</Pages>
  <Words>5999</Words>
  <Characters>34200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MedNexus Enterprise Architecture and Engineering Blueprint v1.4</dc:title>
  <dc:subject>Phase 1 Clinical Privacy Policy Engine accepted POC checkpoint — 12 August 2026</dc:subject>
  <dc:creator>python-docx</dc:creator>
  <cp:keywords/>
  <dc:description>generated by python-docx</dc:description>
  <cp:lastModifiedBy>Sameh A.M. Elmasry</cp:lastModifiedBy>
  <cp:revision>15</cp:revision>
  <dcterms:created xsi:type="dcterms:W3CDTF">2013-12-23T23:15:00Z</dcterms:created>
  <dcterms:modified xsi:type="dcterms:W3CDTF">2026-08-02T07:33:00Z</dcterms:modified>
  <cp:category/>
</cp:coreProperties>
</file>