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1.5</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Phase 2 Understanding Foundation accepted — 714 tests passed</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Phase 1 Frozen; Phase 2 Foundation Checkpoint Accepted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13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10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Clinical Privacy Policy Engine remains frozen at its accepted Phase 1 POC checkpoint. Medical Document Understanding &amp; Recognition has reached the accepted Document Context &amp; Journey Foundation checkpoint at commit fa1a8ba68d66a3d40f40c8af3bf644f3b909191a. The verified repository baseline is 742 passed tests, 8 warnings, and no failures. These are engineering checkpoints, not production or clinical certification.</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replaceable external candidate detector in the current implementation. MedNexus uses it through an adapter; OpenMed output must pass through unified intelligence, purpose-based policy resolution, and MedNexus-owned output construction.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r>
              <w:t>Four canonical purpose profiles with PolicyRule/PolicyDefinition and legacy aliases</w:t>
            </w:r>
          </w:p>
        </w:tc>
        <w:tc>
          <w:tcPr>
            <w:tcW w:w="3360" w:type="dxa"/>
            <w:vAlign w:val="center"/>
          </w:tcPr>
          <w:p>
            <w:r>
              <w:t>Clinical, Research, Analytics/Public Health, and Strict Privacy use one policy resolver and pipeline.</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671 passed, 8 warnings, 0 failures</w:t>
            </w:r>
          </w:p>
        </w:tc>
        <w:tc>
          <w:tcPr>
            <w:tcW w:w="3360" w:type="dxa"/>
            <w:vAlign w:val="center"/>
          </w:tcPr>
          <w:p>
            <w:r>
              <w:t>Strong current baseline; production certification and formal privacy/utility risk assessment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PolicyRule and PolicyDefinition provide an extensible purpose-based policy model with Clinical, Research, Analytics/Public Health, and Strict Privacy profiles.</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contains an accepted Clinical Privacy Policy Engine POC and an accepted Medical Document Understanding &amp; Recognition Document Context &amp; Journey Foundation. Phase 2 reuses TXT/DOCX/text-based PDF extraction and DocumentContent, exposes standalone text/file APIs, and carries one retained document through MedNexusDocumentContext into the existing privacy pipeline without re-upload. The next milestone is Phase 2 Recognition Validation — Round 1 using a small representative healthcare-document set.</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r>
              <w:t>PolicyTransformer and its legacy regex fallback remain as compatibility code outside the authoritative service path.</w:t>
            </w:r>
          </w:p>
        </w:tc>
        <w:tc>
          <w:tcPr>
            <w:tcW w:w="2520" w:type="dxa"/>
            <w:vAlign w:val="center"/>
          </w:tcPr>
          <w:p>
            <w:r>
              <w:t>No production privacy decision depends on the compatibility transformer.</w:t>
            </w:r>
          </w:p>
        </w:tc>
        <w:tc>
          <w:tcPr>
            <w:tcW w:w="2520" w:type="dxa"/>
            <w:vAlign w:val="center"/>
          </w:tcPr>
          <w:p>
            <w:r>
              <w:t>Retain only for compatibility until removal is separately approved.</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r>
              <w:t>Apply implemented actions: keep, replace, hash, mask, or remove. Advanced transformations remain planned.</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constrained to tasks where deterministic logic is strong: syntax, known identifiers, field delimiters, and validation. AI is used where semantic generalization is required. A missed entity must be classified as a detection, canonicalization, role/context, merger, policy, output, or ingestion issue; it must not create a second privacy pipeline or report-specific transformation fallback.</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r>
              <w:t>Unified intelligence, purpose-based Clinical Privacy Policy Engine, stable APIs, text plus TXT/DOCX/PDF ingestion, and benchmark foundation.</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r>
              <w:t>Foundation implemented: deterministic language detection, line-oriented structural sections, evidence-based classification, confidence/evidence, and symbolic routing. OCR, layout vision, tables, ML/LLM classification, and advanced extraction remain deferred.</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671 tests passed, 8 warnings, 0 failures</w:t>
      </w:r>
    </w:p>
    <w:p>
      <w:r>
        <w:t>Current clarification (10 August 2026): context-rule, deterministic, and OpenMed candidates converge through one Intelligence pipeline. PolicyTransformer and KeepEntityProtector remain compatibility components outside the authoritative service path. Both text and file APIs select the same purpose profile through one resolver. Representative validation does not equal production certification; scanned/image PDF OCR remains unimplemented.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10 August 2026</w:t>
      </w:r>
    </w:p>
    <w:p w14:paraId="3D493F0B" w14:textId="77777777" w:rsidR="00632D2B" w:rsidRDefault="00000000">
      <w:r>
        <w:t>The Unified Privacy Decision Pipeline and Purpose-Based Clinical Privacy Policy Engine POC Milestone 1 are complete. The Phase 2 Document Context &amp; Journey Foundation is accepted; the next controlled milestone is Recognition Validation — Round 1 while preserving the authoritative privacy pipeline and stage boundaries.</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Route unified candidates through the Intelligence Core into PolicyDefinition/PolicyEngine and MedNexusOutputBuilder. Status: Completed</w:t>
      </w:r>
    </w:p>
    <w:p w14:paraId="720F29F1" w14:textId="279862F1" w:rsidR="00632D2B" w:rsidRDefault="00000000">
      <w:pPr>
        <w:pStyle w:val="ListNumber"/>
      </w:pPr>
      <w:r>
        <w:t>Remove PolicyTransformer from the authoritative service path; retain it only as a compatibility component. Status: Completed</w:t>
      </w:r>
    </w:p>
    <w:p w14:paraId="4AC9047A" w14:textId="734CB4FE" w:rsidR="00632D2B" w:rsidRDefault="00000000">
      <w:pPr>
        <w:pStyle w:val="ListNumber"/>
      </w:pPr>
      <w:r>
        <w:t>Centralize purpose-based policy applicability in typed PolicyRule and PolicyDefinition contracts.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671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r>
        <w:tc>
          <w:tcPr>
            <w:tcW w:type="dxa" w:w="1710"/>
          </w:tcPr>
          <w:p>
            <w:r>
              <w:t>AD-19</w:t>
            </w:r>
          </w:p>
        </w:tc>
        <w:tc>
          <w:tcPr>
            <w:tcW w:type="dxa" w:w="8370"/>
          </w:tcPr>
          <w:p>
            <w:r>
              <w:t>Purpose-of-use policies and regulatory frameworks remain separate; custom policies reuse the unified privacy pipeline.</w:t>
            </w:r>
          </w:p>
        </w:tc>
      </w:tr>
      <w:tr>
        <w:tc>
          <w:tcPr>
            <w:tcW w:type="dxa" w:w="1710"/>
          </w:tcPr>
          <w:p>
            <w:r>
              <w:t>AD-20</w:t>
            </w:r>
          </w:p>
        </w:tc>
        <w:tc>
          <w:tcPr>
            <w:tcW w:type="dxa" w:w="8370"/>
          </w:tcPr>
          <w:p>
            <w:r>
              <w:t>Only KEEP, REPLACE, HASH, MASK, and REMOVE are currently implemented; advanced transformations and privacy/utility risk capabilities remain planned until genuinely implemented and validated.</w:t>
            </w:r>
          </w:p>
        </w:tc>
      </w:tr>
    </w:tbl>
    <w:p w14:paraId="74D06466" w14:textId="77777777" w:rsidR="00632D2B" w:rsidRDefault="00632D2B"/>
    <w:p>
      <w:pPr>
        <w:pStyle w:val="Heading1"/>
      </w:pPr>
      <w:r>
        <w:t>19.1 Revision 1.2 — Current De-identification Baseline</w:t>
      </w:r>
    </w:p>
    <w:p>
      <w:r>
        <w:t>As of 10 August 2026, MedNexus De-identification is a purpose-based Clinical Privacy Policy Engine. PolicyRule and PolicyDefinition support four canonical profiles: MEDNEXUS_CLINICAL, MEDNEXUS_RESEARCH, MEDNEXUS_ANALYTICS_PUBLIC_HEALTH, and MEDNEXUS_STRICT_PRIVACY. Implemented transformations are KEEP, REPLACE, HASH, MASK, and REMOVE. GENERALIZE, SHIFT_DATE, age/age-band derivation, geographic generalization, pseudonymization/tokenization, Privacy–Utility assessment, Residual Re-identification Risk assessment, and the Custom Policy Builder are planned, not implemented. The future model must distinguish direct identifiers, quasi-identifiers, clinical attributes, and contextual or analytical attributes. Purpose-of-use policies remain conceptually separate from regulatory frameworks, and custom policies must reuse the unified pipeline.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Clinical Privacy Policy Engine, an implemented TXT/DOCX/text-based PDF ingestion path, and an accepted Document Context &amp; Journey Foundation. The next immediate milestone is Recognition Validation — Round 1. The planned Custom Policy Builder remains a future differentiator and must configure the same unified pipeline rather than create a parallel privacy path.</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671 tests passed</w:t>
      </w:r>
    </w:p>
    <w:p w14:paraId="774718FC" w14:textId="24367019" w:rsidR="00ED0E0D" w:rsidRDefault="00ED0E0D" w:rsidP="00ED0E0D">
      <w:r>
        <w:rPr>
          <w:rFonts w:ascii="Segoe UI Symbol" w:hAnsi="Segoe UI Symbol" w:cs="Segoe UI Symbol"/>
        </w:rPr>
        <w:t>✔</w:t>
      </w:r>
      <w:r>
        <w:t xml:space="preserve"> Baseline Frozen</w:t>
      </w:r>
    </w:p>
    <w:p>
      <w:r>
        <w:br w:type="page"/>
      </w:r>
    </w:p>
    <w:p>
      <w:pPr>
        <w:pStyle w:val="Heading1"/>
      </w:pPr>
      <w:r>
        <w:t>Architecture Baseline Update — 12 August 2026</w:t>
      </w:r>
    </w:p>
    <w:p>
      <w:r>
        <w:rPr>
          <w:b/>
        </w:rPr>
        <w:t xml:space="preserve">Version 1.3 status. </w:t>
      </w:r>
      <w:r>
        <w:t>This update defines MedNexus as an Enterprise Medical Document Intelligence Platform and records the current implemented boundary. It supersedes conflicting current-state language without changing historical evidence in version 1.2.</w:t>
      </w:r>
    </w:p>
    <w:p>
      <w:pPr>
        <w:pStyle w:val="Heading2"/>
        <w:spacing w:after="120"/>
      </w:pPr>
      <w:r>
        <w:t>Enterprise Vision and Medical Document Journey</w:t>
      </w:r>
    </w:p>
    <w:p>
      <w:pPr>
        <w:spacing w:after="120"/>
      </w:pPr>
      <w:r>
        <w:t>The public MEDNEXUS⁷ journey is: 01 Understand → 02 Protect → 03 Extract → 04 Standardize → 05 Analyze → 06 Visualize → 07 Indicators. INGEST remains an internal technical operation inside UNDERSTAND for file/text intake, extraction/parsing, and DocumentContent construction. These are target stages, not a claim that all stages are currently functional.</w:t>
      </w:r>
    </w:p>
    <w:p>
      <w:pPr>
        <w:spacing w:after="120"/>
      </w:pPr>
      <w:r>
        <w:t>MedNexus follows a modular-but-connected principle: each capability can operate independently while sharing contracts and context that allow it to participate in the complete document journey.</w:t>
      </w:r>
    </w:p>
    <w:p>
      <w:pPr>
        <w:pStyle w:val="Heading2"/>
        <w:spacing w:after="120"/>
      </w:pPr>
      <w:r>
        <w:t>Implemented Functional Module</w:t>
      </w:r>
    </w:p>
    <w:p>
      <w:pPr>
        <w:spacing w:after="120"/>
      </w:pPr>
      <w:r>
        <w:t>The current functional end-to-end POC is Medical Document Intelligence — Clinical Privacy Policy Engine / De-identification. It supports pasted text, TXT, DOCX, and text-based PDF. Scanned-PDF OCR is not implemented.</w:t>
      </w:r>
    </w:p>
    <w:p>
      <w:pPr>
        <w:spacing w:after="120"/>
      </w:pPr>
      <w:r>
        <w:t>Authoritative flow: document/text ingestion and extraction → MedNexus context and protection layers → deterministic identifier detection plus OpenMed candidates → MedNexus candidate canonicalization → role resolution → context validation → conflict/overlap merging → purpose-based Clinical Privacy Policy Engine → MedNexusOutputBuilder → MedNexus-owned protected output.</w:t>
      </w:r>
    </w:p>
    <w:p>
      <w:pPr>
        <w:spacing w:after="120"/>
      </w:pPr>
      <w:r>
        <w:t>OpenMed is external, replaceable, and candidate-only. Its deidentified_text is non-authoritative. MedNexus owns contextual interpretation, canonicalization, role resolution, validation, false-positive handling, merge decisions, privacy decisions, and final output construction.</w:t>
      </w:r>
    </w:p>
    <w:p>
      <w:pPr>
        <w:pStyle w:val="Heading2"/>
        <w:spacing w:after="120"/>
      </w:pPr>
      <w:r>
        <w:t>Purpose-Based Privacy Boundary</w:t>
      </w:r>
    </w:p>
    <w:p>
      <w:pPr>
        <w:spacing w:after="120"/>
      </w:pPr>
      <w:r>
        <w:t>Canonical profiles are MEDNEXUS_CLINICAL, MEDNEXUS_RESEARCH, MEDNEXUS_ANALYTICS_PUBLIC_HEALTH, and MEDNEXUS_STRICT_PRIVACY. Implemented actions are KEEP, REPLACE, HASH, MASK, and REMOVE. Advanced generalization, date shifting, derivation, geographic reduction, pseudonymization/tokenization, risk assessment, and the Custom Policy Builder remain planned.</w:t>
      </w:r>
    </w:p>
    <w:p>
      <w:pPr>
        <w:pStyle w:val="Heading2"/>
        <w:spacing w:after="120"/>
      </w:pPr>
      <w:r>
        <w:t>Product and Domain Architecture</w:t>
      </w:r>
    </w:p>
    <w:p>
      <w:pPr>
        <w:spacing w:after="120"/>
      </w:pPr>
      <w:r>
        <w:t>The current frontend exposes /app as the MEDNEXUS⁷ Enterprise Medical Document Intelligence homepage, /understanding as the standalone Understanding POC, and /privacy as the functional Clinical Privacy Policy Engine POC. The Deep Teal Hybrid experience and seven-transformation cinematic journey are an accepted working baseline, not final visual or brand polish.</w:t>
      </w:r>
    </w:p>
    <w:p>
      <w:pPr>
        <w:spacing w:after="120"/>
      </w:pPr>
      <w:r>
        <w:t>Public Health Intelligence is active parallel domain work aligned to document → understanding → protection → extraction → standardization → analysis → dashboard → indicators. It retains domain-specific schemas, analytics, and indicators and must not be represented as production-complete without supporting implementation and validation evidence.</w:t>
      </w:r>
    </w:p>
    <w:p>
      <w:pPr>
        <w:pStyle w:val="Heading2"/>
        <w:spacing w:after="120"/>
      </w:pPr>
      <w:r>
        <w:t>Current Status and Immediate Milestone</w:t>
      </w:r>
    </w:p>
    <w:p>
      <w:pPr>
        <w:spacing w:after="120"/>
      </w:pPr>
      <w:r>
        <w:rPr>
          <w:b/>
        </w:rPr>
        <w:t xml:space="preserve">Clinical Privacy Policy Engine Phase 1: </w:t>
      </w:r>
      <w:r>
        <w:t>functionally complete end-to-end POC, pending final real-document acceptance validation.</w:t>
      </w:r>
    </w:p>
    <w:p>
      <w:pPr>
        <w:spacing w:after="120"/>
      </w:pPr>
      <w:r>
        <w:t>Immediate next milestone: validate representative real medical reports across purpose profiles, address confirmed privacy leaks, false positives, or policy mismatches, rerun the appropriate regression suite, and freeze the verified Phase 1 baseline only after acceptance.</w:t>
      </w:r>
    </w:p>
    <w:p>
      <w:r>
        <w:br w:type="page"/>
      </w:r>
    </w:p>
    <w:p>
      <w:pPr>
        <w:pStyle w:val="Heading1"/>
      </w:pPr>
      <w:r>
        <w:t>Phase 1 Clinical Privacy Policy Engine — Accepted POC Checkpoint</w:t>
      </w:r>
    </w:p>
    <w:p>
      <w:r>
        <w:rPr>
          <w:b/>
        </w:rPr>
        <w:t xml:space="preserve">Checkpoint status: </w:t>
      </w:r>
      <w:r>
        <w:t>Phase 1 — Accepted POC Checkpoint / Paused. The architecture and current synthetic acceptance baseline are frozen; this is not production certification, exhaustive clinical validation, or a claim that all privacy edge cases are solved.</w:t>
      </w:r>
    </w:p>
    <w:p>
      <w:pPr>
        <w:pStyle w:val="Heading2"/>
      </w:pPr>
      <w:r>
        <w:t>Final Authoritative Architecture</w:t>
      </w:r>
    </w:p>
    <w:p>
      <w:pPr>
        <w:spacing w:after="120"/>
      </w:pPr>
      <w:r>
        <w:t>Medical document or text → supported extraction → MedNexus contextual and deterministic detection plus OpenMed external candidates → MedNexus candidate canonicalization → RoleResolver → ContextValidator → DetectionMerger and orchestration → purpose-based Clinical Privacy Policy Engine → MedNexusOutputBuilder → MedNexus-owned protected output.</w:t>
      </w:r>
    </w:p>
    <w:p>
      <w:pPr>
        <w:spacing w:after="120"/>
      </w:pPr>
      <w:r>
        <w:t>OpenMed remains external, replaceable, and candidate-only. Its deidentified_text is non-authoritative. MedNexus owns contextual interpretation, role resolution, validation, conflict decisions, policy actions, transformations, and final output construction.</w:t>
      </w:r>
    </w:p>
    <w:p>
      <w:pPr>
        <w:pStyle w:val="Heading2"/>
        <w:spacing w:after="120"/>
      </w:pPr>
      <w:r>
        <w:t>Purpose Profiles and Executable Actions</w:t>
      </w:r>
    </w:p>
    <w:p>
      <w:pPr>
        <w:spacing w:after="120"/>
      </w:pPr>
      <w:r>
        <w:t>Canonical profiles are MEDNEXUS_CLINICAL, MEDNEXUS_RESEARCH, MEDNEXUS_ANALYTICS_PUBLIC_HEALTH, and MEDNEXUS_STRICT_PRIVACY. Current executable actions are KEEP, REPLACE, HASH, MASK, and REMOVE. Advanced transformations remain planned.</w:t>
      </w:r>
    </w:p>
    <w:p>
      <w:pPr>
        <w:pStyle w:val="Heading2"/>
        <w:spacing w:after="120"/>
      </w:pPr>
      <w:r>
        <w:t>Final Targeted Acceptance Corrections</w:t>
      </w:r>
    </w:p>
    <w:p>
      <w:pPr>
        <w:spacing w:after="120"/>
      </w:pPr>
      <w:r>
        <w:t>Formatted international phone candidates now pass conservative validation when they contain an appropriate digit count and common separators, allowing the selected policy to protect values such as +123 456 7890.</w:t>
      </w:r>
    </w:p>
    <w:p>
      <w:pPr>
        <w:spacing w:after="120"/>
      </w:pPr>
      <w:r>
        <w:t>Explicit Reporting Physician, Admitting Consultant, and Consultant Pathologist contexts now feed clinician role resolution consistently. Professional labels and titles such as Dr. and د. remain outside the personal-name span; the purpose profile governs KEEP or transformation.</w:t>
      </w:r>
    </w:p>
    <w:p>
      <w:pPr>
        <w:spacing w:after="120"/>
      </w:pPr>
      <w:r>
        <w:t>Supported Arabic professional fields, including طبيب الأشعة and existing Arabic pathologist equivalents, now produce complete clinician-name spans so fragmented external candidates cannot cause partial identity transformation in the targeted scenarios.</w:t>
      </w:r>
    </w:p>
    <w:p>
      <w:pPr>
        <w:pStyle w:val="Heading2"/>
        <w:spacing w:after="120"/>
      </w:pPr>
      <w:r>
        <w:t>Synthetic Acceptance Baseline</w:t>
      </w:r>
    </w:p>
    <w:p>
      <w:pPr>
        <w:spacing w:after="120"/>
      </w:pPr>
      <w:r>
        <w:t>Targeted acceptance verification: 103 passed, 7 warnings.</w:t>
      </w:r>
    </w:p>
    <w:p>
      <w:pPr>
        <w:spacing w:after="120"/>
      </w:pPr>
      <w:r>
        <w:t>Full regression: 681 passed, 8 warnings, 0 failures.</w:t>
      </w:r>
    </w:p>
    <w:p>
      <w:pPr>
        <w:spacing w:after="120"/>
      </w:pPr>
      <w:r>
        <w:t>The engineering decision is to stop synthetic perfection loops after proving the architecture, fixing clear privacy blockers, preserving clinical meaning, and establishing regression protection.</w:t>
      </w:r>
    </w:p>
    <w:p>
      <w:pPr>
        <w:pStyle w:val="Heading2"/>
        <w:spacing w:after="120"/>
      </w:pPr>
      <w:r>
        <w:t>Deferred Validation and Product Boundary</w:t>
      </w:r>
    </w:p>
    <w:p>
      <w:pPr>
        <w:spacing w:after="120"/>
      </w:pPr>
      <w:r>
        <w:t>Broader real medical-report validation, additional cases discovered from real reports, broader multilingual clinician/person-name coverage, OCR, production hardening, load/performance validation, formal benchmark expansion, and remaining frontend polish are intentionally deferred.</w:t>
      </w:r>
    </w:p>
    <w:p>
      <w:pPr>
        <w:spacing w:after="120"/>
      </w:pPr>
      <w:r>
        <w:t>Future real-document validation is expected to reveal additional cases. The accepted POC checkpoint must not be represented as production readiness, exhaustive privacy coverage, clinical certification, or completed real-world acceptance.</w:t>
      </w:r>
    </w:p>
    <w:p>
      <w:pPr>
        <w:pStyle w:val="Heading1"/>
      </w:pPr>
      <w:r>
        <w:t>21. Phase 2 Foundation Checkpoint — 13 August 2026</w:t>
      </w:r>
    </w:p>
    <w:p>
      <w:r>
        <w:t>Status: FOUNDATION CHECKPOINT ACCEPTED at commit a1e8ff2. Accepted baseline: 714 passed, 8 warnings, 0 failures; focused Phase 2 hardening suite: 33 passed. No Phase 1 regression was introduced.</w:t>
      </w:r>
    </w:p>
    <w:p>
      <w:pPr>
        <w:pStyle w:val="Heading2"/>
      </w:pPr>
      <w:r>
        <w:t>21.1 Implemented UNDERSTAND Boundary</w:t>
      </w:r>
    </w:p>
    <w:p>
      <w:r>
        <w:t>Source File / Text → existing ExtractorFactory → existing DocumentContent → language detection → structural section detection → evidence-based document classification → confidence and decision evidence → symbolic downstream routing. UNDERSTAND is independently usable and does not depend on Phase 1 privacy internals.</w:t>
      </w:r>
    </w:p>
    <w:p>
      <w:r>
        <w:t>The deterministic, explainable POC supports Radiology, Pathology, Laboratory, Emergency, Admission/Discharge, Public Health, and Unknown; English, Arabic, Mixed, and Unknown language results; and conservative radiology subtypes. UNKNOWN and low confidence are valid and preferred over forced classification.</w:t>
      </w:r>
    </w:p>
    <w:p>
      <w:r>
        <w:t>Section detection is line-oriented, supports LF/CRLF and aliases, produces complete non-overlapping ranges, and supplies structural evidence to classification. It is not OCR-, layout-, or vision-based.</w:t>
      </w:r>
    </w:p>
    <w:p>
      <w:r>
        <w:rPr>
          <w:sz w:val="21"/>
        </w:rPr>
        <w:t>Standalone APIs: POST /api/v1/understanding/analyze-text and POST /api/v1/understanding/analyze-file. Future extraction and terminology routes are symbolic recommendations only and do not imply implemented engines.</w:t>
      </w:r>
    </w:p>
    <w:p>
      <w:pPr>
        <w:pStyle w:val="Heading2"/>
      </w:pPr>
      <w:r>
        <w:rPr>
          <w:sz w:val="21"/>
        </w:rPr>
        <w:t>21.2 Deliberate Deferred Scope and Next Milestone</w:t>
      </w:r>
    </w:p>
    <w:p>
      <w:r>
        <w:rPr>
          <w:sz w:val="21"/>
        </w:rPr>
        <w:t>Deferred: OCR and scanned-document recognition, image/layout vision, table extraction, universal or ML/transformer/LLM classification, external classification services, embeddings/vector storage, advanced clinical extraction, FHIR, HL7, frontend/dashboard integration, and broad synthetic classifier tuning.</w:t>
      </w:r>
    </w:p>
    <w:p>
      <w:r>
        <w:rPr>
          <w:sz w:val="21"/>
        </w:rPr>
        <w:t>Next milestone: Phase 2 Recognition Validation — Round 1, using a small representative set across supported domains and ambiguous/UNKNOWN cases before classifier or frontend expansion.</w:t>
      </w:r>
    </w:p>
    <w:p>
      <w:r>
        <w:rPr>
          <w:sz w:val="21"/>
        </w:rPr>
        <w:br w:type="page"/>
      </w:r>
    </w:p>
    <w:p>
      <w:pPr>
        <w:pStyle w:val="Heading1"/>
      </w:pPr>
      <w:r>
        <w:rPr>
          <w:sz w:val="21"/>
        </w:rPr>
        <w:t>Architecture Addendum — Recognition Knowledge Layer v1</w:t>
      </w:r>
    </w:p>
    <w:p>
      <w:r>
        <w:rPr>
          <w:sz w:val="21"/>
        </w:rPr>
        <w:t>Version 1.6 · 13 August 2026</w:t>
      </w:r>
    </w:p>
    <w:p>
      <w:pPr>
        <w:pStyle w:val="Heading2"/>
      </w:pPr>
      <w:r>
        <w:rPr>
          <w:sz w:val="21"/>
        </w:rPr>
        <w:t>Implemented architecture</w:t>
      </w:r>
    </w:p>
    <w:p>
      <w:r>
        <w:rPr>
          <w:sz w:val="21"/>
        </w:rPr>
        <w:t>Medical Document Understanding now includes a MedNexus-owned, offline Recognition Knowledge Layer between normalized document evidence and deterministic classification. Radiology is the first implemented domain package.</w:t>
      </w:r>
    </w:p>
    <w:p>
      <w:r>
        <w:rPr>
          <w:sz w:val="21"/>
        </w:rPr>
        <w:t>Source Text / DocumentContent → Section and Language Detection → MedNexus Recognition Knowledge → Multi-signal Domain Signature → Explainable Classification → Symbolic Routing</w:t>
      </w:r>
    </w:p>
    <w:p>
      <w:pPr>
        <w:pStyle w:val="Heading2"/>
      </w:pPr>
      <w:r>
        <w:rPr>
          <w:sz w:val="21"/>
        </w:rPr>
        <w:t>Knowledge ownership and extensibility</w:t>
      </w:r>
    </w:p>
    <w:p>
      <w:pPr>
        <w:pStyle w:val="ListBullet"/>
      </w:pPr>
      <w:r>
        <w:rPr>
          <w:sz w:val="21"/>
        </w:rPr>
        <w:t>Typed concepts use stable MedNexus identifiers, bilingual canonical terms and aliases, evidence strength, allowed context, provenance families, and notes.</w:t>
      </w:r>
    </w:p>
    <w:p>
      <w:pPr>
        <w:pStyle w:val="ListBullet"/>
      </w:pPr>
      <w:r>
        <w:rPr>
          <w:sz w:val="21"/>
        </w:rPr>
        <w:t>Domain packages own sections, modality mappings, and recognition signatures. New domains extend the registry without creating a second classifier pipeline.</w:t>
      </w:r>
    </w:p>
    <w:p>
      <w:pPr>
        <w:pStyle w:val="ListBullet"/>
      </w:pPr>
      <w:r>
        <w:rPr>
          <w:sz w:val="21"/>
        </w:rPr>
        <w:t>Radiology Report recognition combines document/service identity, structural sections, supporting modality or author-role evidence, and competing-document safeguards. A modality mention alone is insufficient.</w:t>
      </w:r>
    </w:p>
    <w:p>
      <w:pPr>
        <w:pStyle w:val="ListBullet"/>
      </w:pPr>
      <w:r>
        <w:rPr>
          <w:sz w:val="21"/>
        </w:rPr>
        <w:t>External standards and terminologies are reference and traceability inputs only. LOINC Document Ontology, DICOM/DICOM SR, RSNA RadLex/Playbook/RadReport, SNOMED CT, HL7 CDA/C-CDA, and WHO ICD families do not make runtime recognition decisions.</w:t>
      </w:r>
    </w:p>
    <w:p>
      <w:pPr>
        <w:pStyle w:val="ListBullet"/>
      </w:pPr>
      <w:r>
        <w:rPr>
          <w:sz w:val="21"/>
        </w:rPr>
        <w:t>No external terminology service, ML model, embedding service, or external classifier is required at runtime for this POC.</w:t>
      </w:r>
    </w:p>
    <w:p>
      <w:pPr>
        <w:pStyle w:val="Heading2"/>
      </w:pPr>
      <w:r>
        <w:rPr>
          <w:sz w:val="21"/>
        </w:rPr>
        <w:t>Product result contract</w:t>
      </w:r>
    </w:p>
    <w:p>
      <w:r>
        <w:rPr>
          <w:sz w:val="21"/>
        </w:rPr>
        <w:t>The public recognition contract remains stable. The broad-audience workspace presents one primary vertical result (domain, type, subtype, primary language, confidence), followed by at most two default explanation blocks, a compact recommended journey, and collapsed technical traceability including concept IDs and reference families.</w:t>
      </w:r>
    </w:p>
    <w:p>
      <w:pPr>
        <w:pStyle w:val="Heading2"/>
      </w:pPr>
      <w:r>
        <w:rPr>
          <w:sz w:val="21"/>
        </w:rPr>
        <w:t>Validation state</w:t>
      </w:r>
    </w:p>
    <w:p>
      <w:r>
        <w:rPr>
          <w:sz w:val="21"/>
        </w:rPr>
        <w:t>The real Arabic CT sample MNX-01-03_Radiology_Arabic.txt resolves consistently through direct service and a fresh browser-backed API runtime as RADIOLOGY / RADIOLOGY_REPORT / CT / ARABIC with confidence 1.0 HIGH and five structural sections. Full regression status is recorded in current-state documentation after the final batch run.</w:t>
      </w:r>
    </w:p>
    <w:p>
      <w:r>
        <w:br w:type="page"/>
      </w:r>
    </w:p>
    <w:p>
      <w:pPr>
        <w:pStyle w:val="Heading1"/>
      </w:pPr>
      <w:r>
        <w:t>Architecture Addendum — MedNexus Document Context Foundation</w:t>
      </w:r>
    </w:p>
    <w:p>
      <w:r>
        <w:t>Phase 2 implementation clarification · 13 August 2026</w:t>
      </w:r>
    </w:p>
    <w:p>
      <w:pPr>
        <w:pStyle w:val="Heading2"/>
      </w:pPr>
      <w:r>
        <w:t>Shared journey contract</w:t>
      </w:r>
    </w:p>
    <w:p>
      <w:r>
        <w:t>MedNexusDocumentContext is the MedNexus-owned semantic representation of one ingested medical document. It is the reusable handoff from UNDERSTAND to PROTECT and future EXTRACT and STANDARDIZE capabilities.</w:t>
      </w:r>
    </w:p>
    <w:p>
      <w:r>
        <w:t>INGEST (DocumentContent) → UNDERSTAND (MedNexusDocumentContext) → PROTECT (original document plus context) → EXTRACT (future structured clinical data) → STANDARDIZE (future terminology normalization)</w:t>
      </w:r>
    </w:p>
    <w:p>
      <w:pPr>
        <w:pStyle w:val="Heading2"/>
      </w:pPr>
      <w:r>
        <w:t>Contract v1</w:t>
      </w:r>
    </w:p>
    <w:p>
      <w:pPr>
        <w:pStyle w:val="ListBullet"/>
      </w:pPr>
      <w:r>
        <w:t>Document: journey/document identifier, source format, primary language, source and ingestion metadata.</w:t>
      </w:r>
    </w:p>
    <w:p>
      <w:pPr>
        <w:pStyle w:val="ListBullet"/>
      </w:pPr>
      <w:r>
        <w:t>Identity: healthcare domain, document type/subtype, confidence, and confidence band.</w:t>
      </w:r>
    </w:p>
    <w:p>
      <w:pPr>
        <w:pStyle w:val="ListBullet"/>
      </w:pPr>
      <w:r>
        <w:t>Structure: canonical section ID, human semantic role, original heading, exact boundaries, and confidence.</w:t>
      </w:r>
    </w:p>
    <w:p>
      <w:pPr>
        <w:pStyle w:val="ListBullet"/>
      </w:pPr>
      <w:r>
        <w:t>Clinical context: conservative domain evidence such as modality, examination, body region, contrast, and domain concepts; not formal extraction.</w:t>
      </w:r>
    </w:p>
    <w:p>
      <w:pPr>
        <w:pStyle w:val="ListBullet"/>
      </w:pPr>
      <w:r>
        <w:t>Privacy context: semantic regions likely to carry patient, provider, facility, or authentication information; not duplicate identifier detection.</w:t>
      </w:r>
    </w:p>
    <w:p>
      <w:pPr>
        <w:pStyle w:val="ListBullet"/>
      </w:pPr>
      <w:r>
        <w:t>Processing context: symbolic privacy, extraction, and terminology profiles plus recommended capabilities and review state.</w:t>
      </w:r>
    </w:p>
    <w:p>
      <w:pPr>
        <w:pStyle w:val="ListBullet"/>
      </w:pPr>
      <w:r>
        <w:t>Provenance: knowledge-layer version, stable concept IDs, evidence, reference families, and warnings.</w:t>
      </w:r>
    </w:p>
    <w:p>
      <w:pPr>
        <w:pStyle w:val="Heading2"/>
      </w:pPr>
      <w:r>
        <w:t>Stage boundaries</w:t>
      </w:r>
    </w:p>
    <w:p>
      <w:r>
        <w:t>UNDERSTAND interprets document identity, structure, and reusable semantic context. It does not create the future formal clinical extraction output.</w:t>
      </w:r>
    </w:p>
    <w:p>
      <w:r>
        <w:t>PROTECT remains the Phase 1 MedNexus privacy-decision pipeline. The POC journey adapter passes retained original DocumentContent to the existing service and attaches context at the boundary; privacy internals remain unchanged.</w:t>
      </w:r>
    </w:p>
    <w:p>
      <w:r>
        <w:t>EXTRACT will create structured clinical facts. STANDARDIZE will normalize extracted facts against terminology systems. Neither capability is implemented by this context foundation.</w:t>
      </w:r>
    </w:p>
    <w:p>
      <w:pPr>
        <w:pStyle w:val="Heading2"/>
      </w:pPr>
      <w:r>
        <w:t>POC journey lifecycle</w:t>
      </w:r>
    </w:p>
    <w:p>
      <w:r>
        <w:t>A bounded process-local session retains DocumentContent together with MedNexusDocumentContext so the user uploads once and can continue from UNDERSTAND to PROTECT. This mechanism is non-durable, single-process, and explicitly not a database, distributed workflow, or production session architecture.</w:t>
      </w:r>
    </w:p>
    <w:p>
      <w:pPr>
        <w:pStyle w:val="Heading2"/>
      </w:pPr>
      <w:r>
        <w:t>Radiology reference implementation</w:t>
      </w:r>
    </w:p>
    <w:p>
      <w:r>
        <w:t>Radiology Context v1 uses the Recognition Knowledge Layer and deterministic evidence to construct modality, examination, body region, contrast, semantic structure, radiologist/authentication privacy context, processing recommendations, and provenance. Unsupported or ambiguous values remain null.</w:t>
      </w:r>
    </w:p>
    <w:p>
      <w:pPr>
        <w:pStyle w:val="Heading1"/>
      </w:pPr>
      <w:r>
        <w:t>Accepted Checkpoint Synchronization — 15 August 2026</w:t>
      </w:r>
    </w:p>
    <w:p>
      <w:r>
        <w:t>Status: ACCEPTED DOCUMENT CONTEXT &amp; JOURNEY FOUNDATION CHECKPOINT</w:t>
      </w:r>
    </w:p>
    <w:p>
      <w:r>
        <w:t>Accepted commit: fa1a8ba68d66a3d40f40c8af3bf644f3b909191a. Previous Phase 2 checkpoints: a1e8ff2 (foundation) and 551be07 (documentation synchronization). Phase 1 remains frozen at 3486c206085652e2edac2574d277ff0970e037e2.</w:t>
      </w:r>
    </w:p>
    <w:p>
      <w:r>
        <w:t>Canonical public journey: UNDERSTAND -&gt; PROTECT -&gt; EXTRACT -&gt; STANDARDIZE -&gt; ANALYZE -&gt; VISUALIZE -&gt; INDICATORS. INGEST remains an internal technical operation inside UNDERSTAND. MedNexusDocumentContext is the reusable semantic handoff between stages. UNDERSTAND produces document identity, structure, clinical context, privacy context, processing context, and provenance.</w:t>
      </w:r>
    </w:p>
    <w:p>
      <w:r>
        <w:t>Current POC flow: upload once -&gt; INGEST -&gt; UNDERSTAND -&gt; MedNexusDocumentContext -&gt; Continue to Privacy Protection -&gt; existing Phase 1 privacy pipeline, without a second upload. The retained filename and document status remain visible during handoff.</w:t>
      </w:r>
    </w:p>
    <w:p>
      <w:r>
        <w:t>Recognition Knowledge Layer v1 provides MedNexus-owned multilingual concepts, domain signatures, evidence interpretation, and external-reference provenance, with Radiology as the first reference domain. LOINC Document Ontology, DICOM/Structured Reporting, RSNA RadLex/Playbook/RadReport, SNOMED CT, HL7 CDA/C-CDA, and WHO ICD-10/ICD-11 are reference inputs only; MedNexus owns curation, normalization, signatures, context construction, and decision logic.</w:t>
      </w:r>
    </w:p>
    <w:p>
      <w:r>
        <w:t>Progressive Result Reveal is frontend presentation of a completed authoritative output, not backend streaming. Final accepted regression baseline: 742 passed, 8 warnings, 0 failures. Documentation synchronization remains mandatory after meaningful checkpoints.</w:t>
      </w:r>
    </w:p>
    <w:p>
      <w:pPr>
        <w:pStyle w:val="Heading1"/>
      </w:pPr>
      <w:r>
        <w:t>Product Architecture Synchronization — MEDNEXUS⁷</w:t>
      </w:r>
    </w:p>
    <w:p>
      <w:r>
        <w:t>Public signature: MEDNEXUS⁷ — One document. Seven intelligent transformations.</w:t>
      </w:r>
    </w:p>
    <w:p>
      <w:r>
        <w:t>The superscript 7 is a visual/product brand signature. Internal code identifiers, Python packages, classes, APIs, routes, repository names, session identifiers, and runtime contracts remain MedNexus. MedNexus7 is a textual fallback only where superscript typography is unavailable.</w:t>
      </w:r>
    </w:p>
    <w:p>
      <w:r>
        <w:t>Public transformation model: 01 UNDERSTAND; 02 PROTECT; 03 EXTRACT; 04 STANDARDIZE; 05 ANALYZE; 06 VISUALIZE; 07 INDICATORS.</w:t>
      </w:r>
    </w:p>
    <w:p>
      <w:r>
        <w:t>Technical clarification: INGEST remains fully implemented as file/text intake, extraction/parsing, and DocumentContent construction within the public UNDERSTAND transformation. No ingestion module, extractor, API, route, or backend contract is renamed or merged.</w:t>
      </w:r>
    </w:p>
    <w:p>
      <w:r>
        <w:t>At each transformation MedNexus adds a governed proprietary layer of document understanding, privacy decisions, structured clinical interpretation, terminology normalization, analysis, visualization, or indicator generation. The seven-stage journey is the MedNexus public product-architecture signature. Verification for this UI/product-architecture update: 743 passed, 8 warnings, 0 failures.</w:t>
      </w:r>
    </w:p>
    <w:p>
      <w:pPr>
        <w:pStyle w:val="Heading1"/>
      </w:pPr>
      <w:r>
        <w:t>Architecture Addendum — Radiology Intelligence Architecture v2</w:t>
      </w:r>
    </w:p>
    <w:p>
      <w:r>
        <w:t>Version 1.7 · 15 August 2026</w:t>
      </w:r>
    </w:p>
    <w:p>
      <w:pPr>
        <w:pStyle w:val="Heading2"/>
      </w:pPr>
      <w:r>
        <w:t>Implemented reasoning hierarchy</w:t>
      </w:r>
    </w:p>
    <w:p>
      <w:r>
        <w:t>External terminology/reference knowledge → MedNexus concept normalization → MedNexus DocumentEvidenceFrame → MedNexus domain and modality signatures → MedNexus contextual reasoning → MedNexusDocumentContext. External references remain provenance inputs; MedNexus owns normalization, evidence composition, coherence, conflicts, decisions, context construction, and explainability.</w:t>
      </w:r>
    </w:p>
    <w:p>
      <w:r>
        <w:t>Radiology domain recognition, Radiology document-type recognition, and domain context construction are distinct decisions. Coherent imaging evidence may establish domain context without fabricating a Radiology Report; explicit report identity or reporting structure supports report classification. Strong Emergency, Admission, or Discharge structure remains authoritative over incidental imaging mentions.</w:t>
      </w:r>
    </w:p>
    <w:p>
      <w:pPr>
        <w:pStyle w:val="Heading2"/>
      </w:pPr>
      <w:r>
        <w:t>Evidence frame and compositional context</w:t>
      </w:r>
    </w:p>
    <w:p>
      <w:pPr>
        <w:pStyle w:val="ListBullet"/>
      </w:pPr>
      <w:r>
        <w:t>Signals retain stable concept ID, concept family, exact matched source span, local context, evidence strength, and reference-family provenance.</w:t>
      </w:r>
    </w:p>
    <w:p>
      <w:pPr>
        <w:pStyle w:val="ListBullet"/>
      </w:pPr>
      <w:r>
        <w:t>Initial evidence families include modality, imaging technique, acquisition, anatomy, contrast, procedure, structure, clinical purpose, professional role, and service context.</w:t>
      </w:r>
    </w:p>
    <w:p>
      <w:pPr>
        <w:pStyle w:val="ListBullet"/>
      </w:pPr>
      <w:r>
        <w:t>Radiology context supports MRI, CT, X-ray, Ultrasound, Doppler, Mammography, and Nuclear Medicine; composed modality-plus-anatomy examinations; multiple broad body regions; contrast context; imaging-technique families; and broad clinical purpose.</w:t>
      </w:r>
    </w:p>
    <w:p>
      <w:pPr>
        <w:pStyle w:val="ListBullet"/>
      </w:pPr>
      <w:r>
        <w:t>SectionDetector v2 recognizes standard line headings, inline heading/content, conservative colon-delimited flattened-template transitions, and conservative multi-heading clusters near the front of flattened documents while retaining exact offsets. Isolated prose occurrences remain non-structural.</w:t>
      </w:r>
    </w:p>
    <w:p>
      <w:pPr>
        <w:pStyle w:val="Heading2"/>
      </w:pPr>
      <w:r>
        <w:t>Stage and scope boundaries</w:t>
      </w:r>
    </w:p>
    <w:p>
      <w:r>
        <w:t>This is UNDERSTAND context, not formal EXTRACT output. It does not extract lesions, measurements, disease facts, or formal cancer stage; it adds no OCR, layout vision, external runtime classifier, or broad ontology dependency. Other accepted domain profiles remain on their existing deterministic paths.</w:t>
      </w:r>
    </w:p>
    <w:p>
      <w:pPr>
        <w:pStyle w:val="Heading2"/>
      </w:pPr>
      <w:r>
        <w:t>Validation and governance</w:t>
      </w:r>
    </w:p>
    <w:p>
      <w:r>
        <w:t>Validation Failure R-001 resolves compositionally as Radiology / Radiology Report / MRI, MRI Abdomen &amp; Pelvis, abdomen and pelvis, pre/post contrast, Oncologic Staging, expected MRI technique families, six structural sections, and HIGH confidence. Focused verification: 77 passed, 1 warning. Full regression: 758 passed, 8 warnings, 0 failures. This remains an uncommitted architecture-review state, not production or clinical certification.</w:t>
      </w:r>
    </w:p>
    <w:p>
      <w:r>
        <w:t>Governance rule: real validation failures must improve reusable knowledge, normalization, context, or reasoning logic; report-specific pass rules are prohibited.</w:t>
      </w:r>
    </w:p>
    <w:p>
      <w:pPr>
        <w:pStyle w:val="Heading1"/>
      </w:pPr>
      <w:r>
        <w:t>Architecture Addendum — Reference Model Foundation v1</w:t>
      </w:r>
    </w:p>
    <w:p>
      <w:r>
        <w:t>Version 1.8 · 15 August 2026</w:t>
      </w:r>
    </w:p>
    <w:p>
      <w:pPr>
        <w:pStyle w:val="Heading2"/>
      </w:pPr>
      <w:r>
        <w:t>Authority and intelligence boundary</w:t>
      </w:r>
    </w:p>
    <w:p>
      <w:r>
        <w:t>Authoritative external references → governed source registry → controlled import and normalization → stable MedNexus canonical concepts → cross-standard mappings and relationships → MedNexus Radiology Knowledge Model → DocumentEvidenceFrame → contextual/compositional reasoning → MedNexusDocumentContext.</w:t>
      </w:r>
    </w:p>
    <w:p>
      <w:r>
        <w:t>External standards provide authoritative reference knowledge. They do not replace MedNexus normalization, multilingual interpretation, crosswalks, evidence composition, coherence, conflict resolution, document decisions, confidence, explainability, or final context construction. Validation reports are fixtures, not knowledge sources.</w:t>
      </w:r>
    </w:p>
    <w:p>
      <w:pPr>
        <w:pStyle w:val="Heading2"/>
      </w:pPr>
      <w:r>
        <w:t>Source, version, and license governance</w:t>
      </w:r>
    </w:p>
    <w:p>
      <w:pPr>
        <w:pStyle w:val="ListBullet"/>
      </w:pPr>
      <w:r>
        <w:t>LOINC/RSNA Radiology Playbook 2.82: authenticated official acquisition under the LOINC License; source archive is not bundled.</w:t>
      </w:r>
    </w:p>
    <w:p>
      <w:pPr>
        <w:pStyle w:val="ListBullet"/>
      </w:pPr>
      <w:r>
        <w:t>DICOM 2026 current rolling edition: free to download and implement; NEMA copyright and reproduction terms remain explicit.</w:t>
      </w:r>
    </w:p>
    <w:p>
      <w:pPr>
        <w:pStyle w:val="ListBullet"/>
      </w:pPr>
      <w:r>
        <w:t>RadLex: controlled registered download under the RadLex Ontology License with required attribution and notices; release content is not bundled.</w:t>
      </w:r>
    </w:p>
    <w:p>
      <w:pPr>
        <w:pStyle w:val="ListBullet"/>
      </w:pPr>
      <w:r>
        <w:t>SNOMED CT International 20260701: licensed MLDS/NRC acquisition; restricted RF2 content is not committed.</w:t>
      </w:r>
    </w:p>
    <w:p>
      <w:pPr>
        <w:pStyle w:val="ListBullet"/>
      </w:pPr>
      <w:r>
        <w:t>The enabled runtime source is the local MedNexus Radiology Canonical Reference Derivative v1, which contains stable MedNexus concepts and no complete external terminology distribution.</w:t>
      </w:r>
    </w:p>
    <w:p>
      <w:pPr>
        <w:pStyle w:val="Heading2"/>
      </w:pPr>
      <w:r>
        <w:t>Canonical model and runtime</w:t>
      </w:r>
    </w:p>
    <w:p>
      <w:r>
        <w:t>Canonical concepts retain a stable MedNexus identifier, family, domain, preferred terms, synonyms/languages, external mappings, typed relationships, provenance, and status. External codes are mappings, never MedNexus primary keys. Runtime is deterministic and offline; network terminology lookup is prohibited in recognition.</w:t>
      </w:r>
    </w:p>
    <w:p>
      <w:r>
        <w:t>Signals carry source text, exact offsets, canonical MedNexus concept, family, reference provenance, external mappings, and contributing relationships into the Evidence Frame. Source updates are imported outside runtime, checksummed, version-compared, reviewed for impacted concepts, and regression tested before activation.</w:t>
      </w:r>
    </w:p>
    <w:p>
      <w:pPr>
        <w:pStyle w:val="Heading2"/>
      </w:pPr>
      <w:r>
        <w:t>Hierarchy and document nature</w:t>
      </w:r>
    </w:p>
    <w:p>
      <w:r>
        <w:t>Decision hierarchy is Domain → Document Type → Modality → Examination → Context Attributes. Child uncertainty does not collapse a well-supported parent. Structured templates may contain multiple selectable modalities; MedNexus can preserve Radiology and Radiology Report identity while returning modality UNKNOWN and document nature STRUCTURED_TEMPLATE. Template options are never treated as populated clinical facts.</w:t>
      </w:r>
    </w:p>
    <w:p>
      <w:pPr>
        <w:pStyle w:val="Heading2"/>
      </w:pPr>
      <w:r>
        <w:t>Validation state and boundary</w:t>
      </w:r>
    </w:p>
    <w:p>
      <w:r>
        <w:t>Focused reference/Radiology/Understanding verification: 83 passed, 1 warning. Full regression: 764 passed, 8 warnings, 0 failures. The frozen liver/LI-RADS artifact was not present and was therefore not reconstructed or used for tuning. This is an uncommitted architecture-review state, not production or clinical certification.</w:t>
      </w:r>
    </w:p>
    <w:p>
      <w:pPr>
        <w:pStyle w:val="Heading2"/>
      </w:pPr>
      <w:r>
        <w:t>Authoritative Reference Data Population v1 (August 2026)</w:t>
      </w:r>
    </w:p>
    <w:p>
      <w:r>
        <w:t>Implementation state: the governed Radiology Reference Model now supports real offline import, SHA-256 verification, source/version activation, deterministic health reporting, conservative deduplication, provenance/trust classification, and active runtime loading. Official DICOM PS3.6 2026c is populated as a controlled 41-concept/41-mapping subset in the external Reference_Data store.</w:t>
      </w:r>
    </w:p>
    <w:p>
      <w:r>
        <w:t>LOINC/RSNA 2.82, RadLex, and SNOMED CT International 20260701 remain official-artifact acquisition gates under their respective login/license terms. Their local importers are implemented, but no content is claimed active until imported, verified, and activated. Raw/licensed distributions remain outside Git. External identifiers are mappings, not MedNexus primary keys; crosswalks are never invented; recognition remains offline and the curated layer is a compatibility fallback.</w:t>
      </w:r>
    </w:p>
    <w:p>
      <w:pPr>
        <w:pStyle w:val="Heading2"/>
      </w:pPr>
      <w:r>
        <w:t>Radiology Authoritative Knowledge Population - Complete Checkpoint State (August 2026)</w:t>
      </w:r>
    </w:p>
    <w:p>
      <w:r>
        <w:t>Implementation state: official LOINC 2.82, RadLex 4.3, DICOM PS3.6 2026c and the controlled Radiology-focused DICOM PS3.16/DCMR 2026c subset are imported, checksum-verified, active and consumed by the same offline canonical runtime. LOINC contributes 19,230 stored concepts and 71,155 mappings across Playbook procedures, Parts and PartTypeName, PartSequenceOrder composition, RID/RPID and Part-related RadLex crosswalks, Document Ontology and Imaging Documents. The reconciled runtime contains 43,811 canonical concepts, 96,528 external mappings and 88,325 relationships.</w:t>
      </w:r>
    </w:p>
    <w:p>
      <w:r>
        <w:t>Imported references enrich exact-offset DocumentEvidenceFrame provenance and relationship coherence without becoming duplicate confidence votes or independent classifiers. Structural evidence still requires detected headings; cross-domain precedence remains authoritative. Frozen validation opened only after population and focused gates passed: three Radiology TXT reports resolved as Radiology / Radiology Report / CT / HIGH, and 57 non-Radiology controls produced zero Radiology false positives. SNOMED remains configured but inactive; report-derived production tuning remains prohibited. A failed blind report exposed a general flattened-heading boundary gap; the correction reuses governed headings conservatively and adds no report-derived production vocabulary. Focused reference/Radiology/context verification: 91 passed, 1 warning. Full regression after standalone CPython 3.10.11 environment recovery: 778 passed, 8 warnings, 0 failures. Environment recovery changed no production code, and Human Blind Radiology Validation #2 remains unopened. This updates v1.8 implementation state and does not create a new architecture generation.</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MedNexus Enterprise Architecture &amp; Engineering Blueprint v1.8</dc:title>
  <dc:subject>Phase 1 Clinical Privacy Policy Engine accepted POC checkpoint — 12 August 2026</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