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E4E8C"/>
          <w:sz w:val="68"/>
        </w:rPr>
        <w:t>MedNexus</w:t>
      </w:r>
    </w:p>
    <w:p>
      <w:pPr>
        <w:jc w:val="center"/>
      </w:pPr>
      <w:r>
        <w:rPr>
          <w:b/>
          <w:color w:val="12284B"/>
          <w:sz w:val="44"/>
        </w:rPr>
        <w:t>Enterprise Architecture &amp; Engineering Blueprint</w:t>
      </w:r>
    </w:p>
    <w:p>
      <w:pPr>
        <w:pStyle w:val="BlueprintSubtitle"/>
        <w:jc w:val="center"/>
      </w:pPr>
      <w:r>
        <w:t>Version 2.0 — Frozen UNDERSTAND v1 Architecture Authority</w:t>
      </w:r>
    </w:p>
    <w:p/>
    <w:p>
      <w:pPr>
        <w:jc w:val="center"/>
      </w:pPr>
      <w:r>
        <w:rPr>
          <w:b/>
          <w:color w:val="1E4E8C"/>
          <w:sz w:val="36"/>
        </w:rPr>
        <w:t>MEDNEXUS7</w:t>
      </w:r>
    </w:p>
    <w:p>
      <w:pPr>
        <w:jc w:val="center"/>
      </w:pPr>
      <w:r>
        <w:t>One document. Seven intelligent transformations.</w:t>
      </w:r>
    </w:p>
    <w:p>
      <w:pPr>
        <w:jc w:val="center"/>
      </w:pPr>
      <w:r>
        <w:rPr>
          <w:color w:val="464646"/>
          <w:sz w:val="22"/>
        </w:rPr>
        <w:t>Reference-Driven Document Context Layer · Clinical Privacy Policy Engine · Governed Clinical Intelligence</w:t>
      </w:r>
    </w:p>
    <w:p/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92"/>
        <w:gridCol w:w="7088"/>
      </w:tblGrid>
      <w:tr>
        <w:trPr>
          <w:tblHeader w:val="true"/>
        </w:trP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7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Document Version</w:t>
            </w:r>
          </w:p>
        </w:tc>
        <w:tc>
          <w:tcPr>
            <w:tcW w:type="dxa" w:w="7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2.0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Architecture Status</w:t>
            </w:r>
          </w:p>
        </w:tc>
        <w:tc>
          <w:tcPr>
            <w:tcW w:type="dxa" w:w="7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FROZEN ARCHITECTURE AUTHORITY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Human Approval Date</w:t>
            </w:r>
          </w:p>
        </w:tc>
        <w:tc>
          <w:tcPr>
            <w:tcW w:type="dxa" w:w="7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23 August 2026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Historical Predecessor</w:t>
            </w:r>
          </w:p>
        </w:tc>
        <w:tc>
          <w:tcPr>
            <w:tcW w:type="dxa" w:w="7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Blueprint v1.9 — preserved unchanged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Current Full Priorities</w:t>
            </w:r>
          </w:p>
        </w:tc>
        <w:tc>
          <w:tcPr>
            <w:tcW w:type="dxa" w:w="7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RADIOLOGY and PUBLIC_HEALTH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P1 Catalogue-Only Domains</w:t>
            </w:r>
          </w:p>
        </w:tc>
        <w:tc>
          <w:tcPr>
            <w:tcW w:type="dxa" w:w="7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LABORATORY, ADMISSION, DISCHARGE, ICU, EMERGENCY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Future Domain</w:t>
            </w:r>
          </w:p>
        </w:tc>
        <w:tc>
          <w:tcPr>
            <w:tcW w:type="dxa" w:w="7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PATHOLOGY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Verified Accumulated Working-Tree Baseline</w:t>
            </w:r>
          </w:p>
        </w:tc>
        <w:tc>
          <w:tcPr>
            <w:tcW w:type="dxa" w:w="70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818 passed, 8 warnings, 0 failures (not re-run for this documentation-only task)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Number"/>
      </w:pPr>
      <w:r>
        <w:t>Executive Architecture Authority</w:t>
      </w:r>
    </w:p>
    <w:p>
      <w:pPr>
        <w:pStyle w:val="ListNumber"/>
      </w:pPr>
      <w:r>
        <w:t>MEDNEXUS7 Product Journey</w:t>
      </w:r>
    </w:p>
    <w:p>
      <w:pPr>
        <w:pStyle w:val="ListNumber"/>
      </w:pPr>
      <w:r>
        <w:t>Reference-Driven UNDERSTAND Layer</w:t>
      </w:r>
    </w:p>
    <w:p>
      <w:pPr>
        <w:pStyle w:val="ListNumber"/>
      </w:pPr>
      <w:r>
        <w:t>Frozen Domain and Subdomain Model</w:t>
      </w:r>
    </w:p>
    <w:p>
      <w:pPr>
        <w:pStyle w:val="ListNumber"/>
      </w:pPr>
      <w:r>
        <w:t>Semantic Context and Region Contract</w:t>
      </w:r>
    </w:p>
    <w:p>
      <w:pPr>
        <w:pStyle w:val="ListNumber"/>
      </w:pPr>
      <w:r>
        <w:t>PROTECT Governance Boundary</w:t>
      </w:r>
    </w:p>
    <w:p>
      <w:pPr>
        <w:pStyle w:val="ListNumber"/>
      </w:pPr>
      <w:r>
        <w:t>EXTRACT and STANDARDIZE Boundaries</w:t>
      </w:r>
    </w:p>
    <w:p>
      <w:pPr>
        <w:pStyle w:val="ListNumber"/>
      </w:pPr>
      <w:r>
        <w:t>Cross-Stage Handoffs</w:t>
      </w:r>
    </w:p>
    <w:p>
      <w:pPr>
        <w:pStyle w:val="ListNumber"/>
      </w:pPr>
      <w:r>
        <w:t>Parallel Development Ownership</w:t>
      </w:r>
    </w:p>
    <w:p>
      <w:pPr>
        <w:pStyle w:val="ListNumber"/>
      </w:pPr>
      <w:r>
        <w:t>Current Implementation State and Migration</w:t>
      </w:r>
    </w:p>
    <w:p>
      <w:pPr>
        <w:pStyle w:val="ListNumber"/>
      </w:pPr>
      <w:r>
        <w:t>Validation and Governance</w:t>
      </w:r>
    </w:p>
    <w:p>
      <w:pPr>
        <w:pStyle w:val="ListNumber"/>
      </w:pPr>
      <w:r>
        <w:t>Locked Architecture Decisions</w:t>
      </w:r>
    </w:p>
    <w:p>
      <w:pPr>
        <w:pStyle w:val="ListNumber"/>
      </w:pPr>
      <w:r>
        <w:t>Authoritative Architecture Package</w:t>
      </w:r>
    </w:p>
    <w:p>
      <w:pPr>
        <w:pStyle w:val="Heading1"/>
      </w:pPr>
      <w:r>
        <w:t>1. Executive Architecture Authority</w:t>
      </w:r>
    </w:p>
    <w:p>
      <w:pPr/>
      <w:r>
        <w:t>Blueprint v2.0 adopts the frozen MedNexus UNDERSTAND Domain Matrix v1.0 as the authoritative source for document domains, supported subdomains and study/document families, bounded light context, semantic regions, and OTHER/UNKNOWN safety semantics.</w:t>
      </w:r>
    </w:p>
    <w:p>
      <w:pPr/>
      <w:r>
        <w:t>UNDERSTAND is a Reference-Driven Document Context Layer. It identifies what a document is and enough reliable context to govern PROTECT and route EXTRACT. It is not a mini-extractor and does not create save-ready clinical facts.</w:t>
      </w:r>
    </w:p>
    <w:p>
      <w:pPr/>
      <w:r>
        <w:t>Architecture authority is not implementation completion. Current code contains compatibility-era behavior that must migrate incrementally without production regressions.</w:t>
      </w:r>
    </w:p>
    <w:p>
      <w:pPr/>
      <w:r>
        <w:t>Blueprint v1.9 and the v1.1/v0.1 contract set remain preserved architecture history. Where current authority differs, Blueprint v2.0 and the v2.0/v0.2 successors govern future implementation.</w:t>
      </w:r>
    </w:p>
    <w:p>
      <w:pPr>
        <w:pStyle w:val="Heading1"/>
      </w:pPr>
      <w:r>
        <w:t>2. MEDNEXUS7 Product Journey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2"/>
        <w:gridCol w:w="2835"/>
        <w:gridCol w:w="6143"/>
      </w:tblGrid>
      <w:tr>
        <w:trPr>
          <w:tblHeader w:val="true"/>
        </w:trPr>
        <w:tc>
          <w:tcPr>
            <w:tcW w:type="dxa" w:w="11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Transformation</w:t>
            </w:r>
          </w:p>
        </w:tc>
        <w:tc>
          <w:tcPr>
            <w:tcW w:type="dxa" w:w="6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1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01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UNDERSTAND</w:t>
            </w:r>
          </w:p>
        </w:tc>
        <w:tc>
          <w:tcPr>
            <w:tcW w:type="dxa" w:w="6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Reference-driven document context; includes internal INGEST</w:t>
            </w:r>
          </w:p>
        </w:tc>
      </w:tr>
      <w:tr>
        <w:tc>
          <w:tcPr>
            <w:tcW w:type="dxa" w:w="11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02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PROTECT</w:t>
            </w:r>
          </w:p>
        </w:tc>
        <w:tc>
          <w:tcPr>
            <w:tcW w:type="dxa" w:w="6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Purpose-based privacy policy and governance</w:t>
            </w:r>
          </w:p>
        </w:tc>
      </w:tr>
      <w:tr>
        <w:tc>
          <w:tcPr>
            <w:tcW w:type="dxa" w:w="11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03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EXTRACT</w:t>
            </w:r>
          </w:p>
        </w:tc>
        <w:tc>
          <w:tcPr>
            <w:tcW w:type="dxa" w:w="6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Terminology-independent detailed clinical facts</w:t>
            </w:r>
          </w:p>
        </w:tc>
      </w:tr>
      <w:tr>
        <w:tc>
          <w:tcPr>
            <w:tcW w:type="dxa" w:w="11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04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STANDARDIZE</w:t>
            </w:r>
          </w:p>
        </w:tc>
        <w:tc>
          <w:tcPr>
            <w:tcW w:type="dxa" w:w="6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Terminology mapping, coding, and canonical representations</w:t>
            </w:r>
          </w:p>
        </w:tc>
      </w:tr>
      <w:tr>
        <w:tc>
          <w:tcPr>
            <w:tcW w:type="dxa" w:w="11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05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ANALYZE</w:t>
            </w:r>
          </w:p>
        </w:tc>
        <w:tc>
          <w:tcPr>
            <w:tcW w:type="dxa" w:w="6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Traceable analysis over governed structured data</w:t>
            </w:r>
          </w:p>
        </w:tc>
      </w:tr>
      <w:tr>
        <w:tc>
          <w:tcPr>
            <w:tcW w:type="dxa" w:w="11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06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VISUALIZE</w:t>
            </w:r>
          </w:p>
        </w:tc>
        <w:tc>
          <w:tcPr>
            <w:tcW w:type="dxa" w:w="6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Human-facing representation of authoritative outputs</w:t>
            </w:r>
          </w:p>
        </w:tc>
      </w:tr>
      <w:tr>
        <w:tc>
          <w:tcPr>
            <w:tcW w:type="dxa" w:w="110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07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INDICATORS</w:t>
            </w:r>
          </w:p>
        </w:tc>
        <w:tc>
          <w:tcPr>
            <w:tcW w:type="dxa" w:w="614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Validated operational, clinical, research, and Public Health indicators</w:t>
            </w:r>
          </w:p>
        </w:tc>
      </w:tr>
    </w:tbl>
    <w:p>
      <w:pPr>
        <w:spacing w:after="0"/>
      </w:pPr>
    </w:p>
    <w:p>
      <w:pPr/>
      <w:r>
        <w:t>INGEST is a real internal operation within UNDERSTAND: file/text intake, extraction/parsing, and DocumentContent construction. It is not an eighth public transformation.</w:t>
      </w:r>
    </w:p>
    <w:p>
      <w:pPr/>
      <w:r>
        <w:t>The seven-stage journey is a target product architecture. Only capabilities proven by code and validation may be described as implemented.</w:t>
      </w:r>
    </w:p>
    <w:p>
      <w:pPr>
        <w:pStyle w:val="Heading1"/>
      </w:pPr>
      <w:r>
        <w:t>3. Reference-Driven UNDERSTAND Layer</w:t>
      </w:r>
    </w:p>
    <w:p>
      <w:pPr/>
      <w:r>
        <w:t>UNDERSTAND begins after upload or pasted-text intake and consumes the canonical DocumentContent representation. Its bounded sequence is:</w:t>
      </w:r>
    </w:p>
    <w:p>
      <w:pPr>
        <w:pStyle w:val="ListNumber"/>
        <w:numPr>
          <w:ilvl w:val="0"/>
          <w:numId w:val="10"/>
        </w:numPr>
      </w:pPr>
      <w:r>
        <w:t>Determine document identity: domain, supported subdomain/family or OTHER, document type, and primary language.</w:t>
      </w:r>
    </w:p>
    <w:p>
      <w:pPr>
        <w:pStyle w:val="ListNumber"/>
        <w:numPr>
          <w:ilvl w:val="0"/>
          <w:numId w:val="10"/>
        </w:numPr>
      </w:pPr>
      <w:r>
        <w:t>Select approximately three or four high-value context fields approved for the recognized subtype/family.</w:t>
      </w:r>
    </w:p>
    <w:p>
      <w:pPr>
        <w:pStyle w:val="ListNumber"/>
        <w:numPr>
          <w:ilvl w:val="0"/>
          <w:numId w:val="10"/>
        </w:numPr>
      </w:pPr>
      <w:r>
        <w:t>Locate semantic document regions and role-qualified relationships without extracting their detailed clinical contents.</w:t>
      </w:r>
    </w:p>
    <w:p>
      <w:pPr>
        <w:pStyle w:val="ListNumber"/>
        <w:numPr>
          <w:ilvl w:val="0"/>
          <w:numId w:val="10"/>
        </w:numPr>
      </w:pPr>
      <w:r>
        <w:t>Preserve evidence, source offsets where available, reference provenance, confidence, conflicts, warnings, and document-review requirements.</w:t>
      </w:r>
    </w:p>
    <w:p>
      <w:pPr>
        <w:pStyle w:val="ListNumber"/>
        <w:numPr>
          <w:ilvl w:val="0"/>
          <w:numId w:val="10"/>
        </w:numPr>
      </w:pPr>
      <w:r>
        <w:t>Emit routing readiness for PROTECT and EXTRACT through MedNexusDocumentContext.</w:t>
      </w:r>
    </w:p>
    <w:p>
      <w:pPr>
        <w:pStyle w:val="Heading2"/>
      </w:pPr>
      <w:r>
        <w:t>3.1 Reference and intelligence boundary</w:t>
      </w:r>
    </w:p>
    <w:p>
      <w:pPr/>
      <w:r>
        <w:t>DICOM, LOINC/RSNA, RadLex, ACR, HL7, CDC, WHO, and other governed authorities provide reference knowledge and interoperability provenance. MedNexus owns curation, normalization, canonical identifiers, evidence composition, semantic roles, conflict resolution, confidence, review decisions, and final context construction.</w:t>
      </w:r>
    </w:p>
    <w:p>
      <w:pPr/>
      <w:r>
        <w:t>An external terminology distribution is ACTIVE only after governed import, checksum verification, normalization, and explicit activation. Validation reports are fixtures, not knowledge sources.</w:t>
      </w:r>
    </w:p>
    <w:p>
      <w:pPr>
        <w:pStyle w:val="Heading2"/>
      </w:pPr>
      <w:r>
        <w:t>3.2 UNDERSTAND output boundary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61"/>
        <w:gridCol w:w="5119"/>
      </w:tblGrid>
      <w:tr>
        <w:trPr>
          <w:tblHeader w:val="true"/>
        </w:trP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UNDERSTAND owns</w:t>
            </w:r>
          </w:p>
        </w:tc>
        <w:tc>
          <w:tcPr>
            <w:tcW w:type="dxa" w:w="51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Deferred to EXTRACT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Domain and supported subdomain/family or OTHER</w:t>
            </w:r>
          </w:p>
        </w:tc>
        <w:tc>
          <w:tcPr>
            <w:tcW w:type="dxa" w:w="51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Detailed domain facts and save-ready records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Document type, language, confidence, review</w:t>
            </w:r>
          </w:p>
        </w:tc>
        <w:tc>
          <w:tcPr>
            <w:tcW w:type="dxa" w:w="51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Exact diagnoses, findings, symptoms, procedures, tests, vaccines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Approximately 3–4 bounded context fields</w:t>
            </w:r>
          </w:p>
        </w:tc>
        <w:tc>
          <w:tcPr>
            <w:tcW w:type="dxa" w:w="51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Exact values, measurements, dates, doses, lots, units, codes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Semantic regions and document relationships</w:t>
            </w:r>
          </w:p>
        </w:tc>
        <w:tc>
          <w:tcPr>
            <w:tcW w:type="dxa" w:w="51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Region contents, exact recommendation/impression text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Presence flags and routing hints</w:t>
            </w:r>
          </w:p>
        </w:tc>
        <w:tc>
          <w:tcPr>
            <w:tcW w:type="dxa" w:w="51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The clinical values indicated by those flags</w:t>
            </w:r>
          </w:p>
        </w:tc>
      </w:tr>
      <w:tr>
        <w:tc>
          <w:tcPr>
            <w:tcW w:type="dxa" w:w="496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Evidence/provenance and document review</w:t>
            </w:r>
          </w:p>
        </w:tc>
        <w:tc>
          <w:tcPr>
            <w:tcW w:type="dxa" w:w="511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Per-field extraction provenance/confidence and extraction review</w:t>
            </w:r>
          </w:p>
        </w:tc>
      </w:tr>
    </w:tbl>
    <w:p>
      <w:pPr>
        <w:spacing w:after="0"/>
      </w:pPr>
    </w:p>
    <w:p>
      <w:pPr>
        <w:pStyle w:val="Heading1"/>
      </w:pPr>
      <w:r>
        <w:t>4. Frozen Domain and Subdomain Model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62"/>
        <w:gridCol w:w="2835"/>
        <w:gridCol w:w="2205"/>
        <w:gridCol w:w="2678"/>
      </w:tblGrid>
      <w:tr>
        <w:trPr>
          <w:tblHeader w:val="true"/>
        </w:trPr>
        <w:tc>
          <w:tcPr>
            <w:tcW w:type="dxa" w:w="23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Architecture status</w:t>
            </w:r>
          </w:p>
        </w:tc>
        <w:tc>
          <w:tcPr>
            <w:tcW w:type="dxa" w:w="22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Safety fallback</w:t>
            </w:r>
          </w:p>
        </w:tc>
      </w:tr>
      <w:tr>
        <w:tc>
          <w:tcPr>
            <w:tcW w:type="dxa" w:w="23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RADIOLOGY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Approved</w:t>
            </w:r>
          </w:p>
        </w:tc>
        <w:tc>
          <w:tcPr>
            <w:tcW w:type="dxa" w:w="22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P0/full</w:t>
            </w:r>
          </w:p>
        </w:tc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RADIOLOGY / OTHER</w:t>
            </w:r>
          </w:p>
        </w:tc>
      </w:tr>
      <w:tr>
        <w:tc>
          <w:tcPr>
            <w:tcW w:type="dxa" w:w="23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PUBLIC_HEALTH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Approved</w:t>
            </w:r>
          </w:p>
        </w:tc>
        <w:tc>
          <w:tcPr>
            <w:tcW w:type="dxa" w:w="22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P0/full</w:t>
            </w:r>
          </w:p>
        </w:tc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PUBLIC_HEALTH / OTHER</w:t>
            </w:r>
          </w:p>
        </w:tc>
      </w:tr>
      <w:tr>
        <w:tc>
          <w:tcPr>
            <w:tcW w:type="dxa" w:w="23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LABORATORY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Approved</w:t>
            </w:r>
          </w:p>
        </w:tc>
        <w:tc>
          <w:tcPr>
            <w:tcW w:type="dxa" w:w="22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P1/catalogue only</w:t>
            </w:r>
          </w:p>
        </w:tc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LABORATORY / OTHER</w:t>
            </w:r>
          </w:p>
        </w:tc>
      </w:tr>
      <w:tr>
        <w:tc>
          <w:tcPr>
            <w:tcW w:type="dxa" w:w="23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ADMISSION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Approved</w:t>
            </w:r>
          </w:p>
        </w:tc>
        <w:tc>
          <w:tcPr>
            <w:tcW w:type="dxa" w:w="22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P1/catalogue only</w:t>
            </w:r>
          </w:p>
        </w:tc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ADMISSION / OTHER</w:t>
            </w:r>
          </w:p>
        </w:tc>
      </w:tr>
      <w:tr>
        <w:tc>
          <w:tcPr>
            <w:tcW w:type="dxa" w:w="23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DISCHARGE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Approved</w:t>
            </w:r>
          </w:p>
        </w:tc>
        <w:tc>
          <w:tcPr>
            <w:tcW w:type="dxa" w:w="22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P1/catalogue only</w:t>
            </w:r>
          </w:p>
        </w:tc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DISCHARGE / OTHER</w:t>
            </w:r>
          </w:p>
        </w:tc>
      </w:tr>
      <w:tr>
        <w:tc>
          <w:tcPr>
            <w:tcW w:type="dxa" w:w="23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ICU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Approved</w:t>
            </w:r>
          </w:p>
        </w:tc>
        <w:tc>
          <w:tcPr>
            <w:tcW w:type="dxa" w:w="22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P1/catalogue only</w:t>
            </w:r>
          </w:p>
        </w:tc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ICU / OTHER</w:t>
            </w:r>
          </w:p>
        </w:tc>
      </w:tr>
      <w:tr>
        <w:tc>
          <w:tcPr>
            <w:tcW w:type="dxa" w:w="23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EMERGENCY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Approved</w:t>
            </w:r>
          </w:p>
        </w:tc>
        <w:tc>
          <w:tcPr>
            <w:tcW w:type="dxa" w:w="22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P1/catalogue only</w:t>
            </w:r>
          </w:p>
        </w:tc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EMERGENCY / OTHER</w:t>
            </w:r>
          </w:p>
        </w:tc>
      </w:tr>
      <w:tr>
        <w:tc>
          <w:tcPr>
            <w:tcW w:type="dxa" w:w="236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PATHOLOGY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Future</w:t>
            </w:r>
          </w:p>
        </w:tc>
        <w:tc>
          <w:tcPr>
            <w:tcW w:type="dxa" w:w="220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Future</w:t>
            </w:r>
          </w:p>
        </w:tc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UNKNOWN until approved</w:t>
            </w:r>
          </w:p>
        </w:tc>
      </w:tr>
    </w:tbl>
    <w:p>
      <w:pPr>
        <w:spacing w:after="0"/>
      </w:pPr>
    </w:p>
    <w:p>
      <w:pPr>
        <w:pStyle w:val="Heading2"/>
      </w:pPr>
      <w:r>
        <w:t>4.1 OTHER and UNKNOWN</w:t>
      </w:r>
    </w:p>
    <w:p>
      <w:pPr>
        <w:pStyle w:val="ListBullet"/>
      </w:pPr>
      <w:r>
        <w:t>Known domain with unsupported or unsafe subtype/family: return the known domain plus OTHER; preserve safe generic structure and provenance; do not guess.</w:t>
      </w:r>
    </w:p>
    <w:p>
      <w:pPr>
        <w:pStyle w:val="ListBullet"/>
      </w:pPr>
      <w:r>
        <w:t>Domain not confidently established: return UNKNOWN and require document review.</w:t>
      </w:r>
    </w:p>
    <w:p>
      <w:pPr>
        <w:pStyle w:val="ListBullet"/>
      </w:pPr>
      <w:r>
        <w:t>OTHER is a bounded successful domain classification; UNKNOWN means the domain itself is unresolved.</w:t>
      </w:r>
    </w:p>
    <w:p>
      <w:pPr>
        <w:pStyle w:val="Heading2"/>
      </w:pPr>
      <w:r>
        <w:t>4.2 Domain is not consuming workflow</w:t>
      </w:r>
    </w:p>
    <w:p>
      <w:pPr/>
      <w:r>
        <w:t>A patient Laboratory report remains LABORATORY when consumed by Public Health. For the current product scope, a native immunization/vaccination document is PUBLIC_HEALTH / IMMUNIZATION. Public Health / Laboratory-derived Surveillance requires native Public Health surveillance/reporting identity plus laboratory-derived surveillance context; laboratory results alone are insufficient.</w:t>
      </w:r>
    </w:p>
    <w:p>
      <w:pPr>
        <w:pStyle w:val="Heading2"/>
      </w:pPr>
      <w:r>
        <w:t>4.3 Radiology model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78"/>
        <w:gridCol w:w="3465"/>
        <w:gridCol w:w="3937"/>
      </w:tblGrid>
      <w:tr>
        <w:trPr>
          <w:tblHeader w:val="true"/>
        </w:trPr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Subdomain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Study/family decision</w:t>
            </w:r>
          </w:p>
        </w:tc>
        <w:tc>
          <w:tcPr>
            <w:tcW w:type="dxa" w:w="39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Approved light context (max. four)</w:t>
            </w:r>
          </w:p>
        </w:tc>
      </w:tr>
      <w:tr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CT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CT or CTA</w:t>
            </w:r>
          </w:p>
        </w:tc>
        <w:tc>
          <w:tcPr>
            <w:tcW w:type="dxa" w:w="39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Body region; contrast; CT/CTA family; bounded acquisition/phase summary</w:t>
            </w:r>
          </w:p>
        </w:tc>
      </w:tr>
      <w:tr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MRI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MRI, MRA, or MRV</w:t>
            </w:r>
          </w:p>
        </w:tc>
        <w:tc>
          <w:tcPr>
            <w:tcW w:type="dxa" w:w="39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Body region; contrast; MRI/MRA/MRV family; sequence-family summary</w:t>
            </w:r>
          </w:p>
        </w:tc>
      </w:tr>
      <w:tr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X_RAY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CR/DX/XR normalize to X-ray</w:t>
            </w:r>
          </w:p>
        </w:tc>
        <w:tc>
          <w:tcPr>
            <w:tcW w:type="dxa" w:w="39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Current-study anatomy; laterality; named views/view count; source type</w:t>
            </w:r>
          </w:p>
        </w:tc>
      </w:tr>
      <w:tr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ULTRASOUND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Doppler/vascular is a specialization</w:t>
            </w:r>
          </w:p>
        </w:tc>
        <w:tc>
          <w:tcPr>
            <w:tcW w:type="dxa" w:w="39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Body/organ or vascular territory; complete/limited or arterial/venous; technique; measurement presence</w:t>
            </w:r>
          </w:p>
        </w:tc>
      </w:tr>
      <w:tr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MAMMOGRAPHY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Screening/diagnostic family</w:t>
            </w:r>
          </w:p>
        </w:tc>
        <w:tc>
          <w:tcPr>
            <w:tcW w:type="dxa" w:w="39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Purpose; laterality; view/tomosynthesis; BI-RADS presence</w:t>
            </w:r>
          </w:p>
        </w:tc>
      </w:tr>
      <w:tr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NUCLEAR_MEDICINE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PLANAR, SPECT, PET, SPECT_CT, PET_CT, OTHER</w:t>
            </w:r>
          </w:p>
        </w:tc>
        <w:tc>
          <w:tcPr>
            <w:tcW w:type="dxa" w:w="39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Family; organ/body region; radiopharmaceutical presence; uptake presence</w:t>
            </w:r>
          </w:p>
        </w:tc>
      </w:tr>
      <w:tr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FLUOROSCOPY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Diagnostic fluoroscopy only</w:t>
            </w:r>
          </w:p>
        </w:tc>
        <w:tc>
          <w:tcPr>
            <w:tcW w:type="dxa" w:w="39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Study family; body system; contrast context; dynamic/functional context</w:t>
            </w:r>
          </w:p>
        </w:tc>
      </w:tr>
      <w:tr>
        <w:tc>
          <w:tcPr>
            <w:tcW w:type="dxa" w:w="267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OTHER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Unsupported/unsafe Radiology family</w:t>
            </w:r>
          </w:p>
        </w:tc>
        <w:tc>
          <w:tcPr>
            <w:tcW w:type="dxa" w:w="3937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Generic structure; provenance; review; no guessed modality</w:t>
            </w:r>
          </w:p>
        </w:tc>
      </w:tr>
    </w:tbl>
    <w:p>
      <w:pPr>
        <w:spacing w:after="0"/>
      </w:pPr>
    </w:p>
    <w:p>
      <w:pPr/>
      <w:r>
        <w:t>Image-guided interventional procedure documentation is not diagnostic Fluoroscopy. Until a future Interventional Radiology family is designed, such documents resolve to RADIOLOGY / OTHER when Radiology identity is clear.</w:t>
      </w:r>
    </w:p>
    <w:p>
      <w:pPr>
        <w:pStyle w:val="Heading2"/>
      </w:pPr>
      <w:r>
        <w:t>4.4 Public Health model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92"/>
        <w:gridCol w:w="3465"/>
        <w:gridCol w:w="3623"/>
      </w:tblGrid>
      <w:tr>
        <w:trPr>
          <w:tblHeader w:val="true"/>
        </w:trP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Subdomain/family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Identity condition</w:t>
            </w:r>
          </w:p>
        </w:tc>
        <w:tc>
          <w:tcPr>
            <w:tcW w:type="dxa" w:w="3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Approved light context (max. four)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NOTIFIABLE_DISEASE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Native case notification/eCR</w:t>
            </w:r>
          </w:p>
        </w:tc>
        <w:tc>
          <w:tcPr>
            <w:tcW w:type="dxa" w:w="3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Condition family; case status; jurisdiction/geography; event/report-time context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IMMUNIZATION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Native immunization/vaccination document</w:t>
            </w:r>
          </w:p>
        </w:tc>
        <w:tc>
          <w:tcPr>
            <w:tcW w:type="dxa" w:w="3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Vaccine family; administration event; age group; jurisdiction/provider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SURVEILLANCE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Native surveillance report/summary</w:t>
            </w:r>
          </w:p>
        </w:tc>
        <w:tc>
          <w:tcPr>
            <w:tcW w:type="dxa" w:w="3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Topic; reporting period; geography; population group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SYNDROMIC_SURVEILLANCE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Native syndromic feed/report</w:t>
            </w:r>
          </w:p>
        </w:tc>
        <w:tc>
          <w:tcPr>
            <w:tcW w:type="dxa" w:w="3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Syndrome group; time window; geography; encounter/population setting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OUTBREAK_CLUSTER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Native outbreak/cluster investigation</w:t>
            </w:r>
          </w:p>
        </w:tc>
        <w:tc>
          <w:tcPr>
            <w:tcW w:type="dxa" w:w="3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Event/cluster family; geography/facility; time window; population/setting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LABORATORY_DERIVED_SURVEILLANCE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Public Health surveillance identity plus laboratory-derived context</w:t>
            </w:r>
          </w:p>
        </w:tc>
        <w:tc>
          <w:tcPr>
            <w:tcW w:type="dxa" w:w="3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Test-family hint; specimen presence; result polarity; disease/pathogen family</w:t>
            </w:r>
          </w:p>
        </w:tc>
      </w:tr>
      <w:tr>
        <w:tc>
          <w:tcPr>
            <w:tcW w:type="dxa" w:w="29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OTHER</w:t>
            </w:r>
          </w:p>
        </w:tc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Unsupported/unsafe native Public Health family</w:t>
            </w:r>
          </w:p>
        </w:tc>
        <w:tc>
          <w:tcPr>
            <w:tcW w:type="dxa" w:w="36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Generic structure; provenance; review; no guessed family</w:t>
            </w:r>
          </w:p>
        </w:tc>
      </w:tr>
    </w:tbl>
    <w:p>
      <w:pPr>
        <w:spacing w:after="0"/>
      </w:pPr>
    </w:p>
    <w:p>
      <w:pPr>
        <w:pStyle w:val="Heading1"/>
      </w:pPr>
      <w:r>
        <w:t>5. Semantic Context and Region Contract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10"/>
        <w:gridCol w:w="5670"/>
      </w:tblGrid>
      <w:tr>
        <w:trPr>
          <w:tblHeader w:val="true"/>
        </w:trPr>
        <w:tc>
          <w:tcPr>
            <w:tcW w:type="dxa" w:w="44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Canonical role</w:t>
            </w:r>
          </w:p>
        </w:tc>
        <w:tc>
          <w:tcPr>
            <w:tcW w:type="dxa" w:w="56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Document-level meaning</w:t>
            </w:r>
          </w:p>
        </w:tc>
      </w:tr>
      <w:tr>
        <w:tc>
          <w:tcPr>
            <w:tcW w:type="dxa" w:w="44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STUDY_OR_EVENT_IDENTITY</w:t>
            </w:r>
          </w:p>
        </w:tc>
        <w:tc>
          <w:tcPr>
            <w:tcW w:type="dxa" w:w="56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Performed study, event, encounter, or document-family identity</w:t>
            </w:r>
          </w:p>
        </w:tc>
      </w:tr>
      <w:tr>
        <w:tc>
          <w:tcPr>
            <w:tcW w:type="dxa" w:w="44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CLINICAL_OR_REPORTING_INDICATION</w:t>
            </w:r>
          </w:p>
        </w:tc>
        <w:tc>
          <w:tcPr>
            <w:tcW w:type="dxa" w:w="56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Explicit reason the study/event/report exists</w:t>
            </w:r>
          </w:p>
        </w:tc>
      </w:tr>
      <w:tr>
        <w:tc>
          <w:tcPr>
            <w:tcW w:type="dxa" w:w="44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TECHNIQUE_OR_ACQUISITION</w:t>
            </w:r>
          </w:p>
        </w:tc>
        <w:tc>
          <w:tcPr>
            <w:tcW w:type="dxa" w:w="56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Acquisition, specimen/workflow method, or reporting process</w:t>
            </w:r>
          </w:p>
        </w:tc>
      </w:tr>
      <w:tr>
        <w:tc>
          <w:tcPr>
            <w:tcW w:type="dxa" w:w="44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OBSERVATION_NARRATIVE</w:t>
            </w:r>
          </w:p>
        </w:tc>
        <w:tc>
          <w:tcPr>
            <w:tcW w:type="dxa" w:w="56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Findings/results narrative, surveillance observations, or event description</w:t>
            </w:r>
          </w:p>
        </w:tc>
      </w:tr>
      <w:tr>
        <w:tc>
          <w:tcPr>
            <w:tcW w:type="dxa" w:w="44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CONCLUSION_OR_STATUS</w:t>
            </w:r>
          </w:p>
        </w:tc>
        <w:tc>
          <w:tcPr>
            <w:tcW w:type="dxa" w:w="56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Impression, conclusion, assessment, case status, or summary</w:t>
            </w:r>
          </w:p>
        </w:tc>
      </w:tr>
      <w:tr>
        <w:tc>
          <w:tcPr>
            <w:tcW w:type="dxa" w:w="44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COMPARISON_OR_PRIOR_CONTEXT</w:t>
            </w:r>
          </w:p>
        </w:tc>
        <w:tc>
          <w:tcPr>
            <w:tcW w:type="dxa" w:w="56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Prior study/period, baseline, or historical comparison</w:t>
            </w:r>
          </w:p>
        </w:tc>
      </w:tr>
      <w:tr>
        <w:tc>
          <w:tcPr>
            <w:tcW w:type="dxa" w:w="44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RECOMMENDATION_OR_FUTURE_ACTION</w:t>
            </w:r>
          </w:p>
        </w:tc>
        <w:tc>
          <w:tcPr>
            <w:tcW w:type="dxa" w:w="56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Recommended future study/action, follow-up, control action, or plan</w:t>
            </w:r>
          </w:p>
        </w:tc>
      </w:tr>
      <w:tr>
        <w:tc>
          <w:tcPr>
            <w:tcW w:type="dxa" w:w="441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PROFESSIONAL_OR_AUTHORITY_AUTHENTICATION</w:t>
            </w:r>
          </w:p>
        </w:tc>
        <w:tc>
          <w:tcPr>
            <w:tcW w:type="dxa" w:w="567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Author, interpreter, authority, jurisdiction, signature, or attestation</w:t>
            </w:r>
          </w:p>
        </w:tc>
      </w:tr>
    </w:tbl>
    <w:p>
      <w:pPr>
        <w:spacing w:after="0"/>
      </w:pPr>
    </w:p>
    <w:p>
      <w:pPr/>
      <w:r>
        <w:t>Semantic-role assignment prevents recommendation, comparison, historical, findings-only, or attribution concepts from redefining the current study/event identity. Regions remain optional and evidence-based; the system never fabricates a complete grammar.</w:t>
      </w:r>
    </w:p>
    <w:p>
      <w:pPr>
        <w:pStyle w:val="Heading1"/>
      </w:pPr>
      <w:r>
        <w:t>6. PROTECT Governance Boundary</w:t>
      </w:r>
    </w:p>
    <w:p>
      <w:pPr/>
      <w:r>
        <w:t>Phase 1 remains the accepted/frozen PROTECT foundation. The authoritative privacy path remains Detection -&gt; Unified Intelligence -&gt; Purpose-Based Policy Engine -&gt; MedNexusOutputBuilder -&gt; MedNexus-owned output. External engines remain candidate-only.</w:t>
      </w:r>
    </w:p>
    <w:p>
      <w:pPr/>
      <w:r>
        <w:t>PROTECT is a policy and governance gate, not unconditional destructive redaction before EXTRACT. A future MedNexus Protected Execution Envelope may govern protected text, raw-text access, field restrictions, policy identity, transformations, permissions, and provenance. This full envelope remains planned and must not be simulated.</w:t>
      </w:r>
    </w:p>
    <w:p>
      <w:pPr/>
      <w:r>
        <w:t>Purpose-of-use policies remain conceptually separate from regulatory frameworks. Unsupported transformations must never be presented as implemented.</w:t>
      </w:r>
    </w:p>
    <w:p>
      <w:pPr>
        <w:pStyle w:val="Heading1"/>
      </w:pPr>
      <w:r>
        <w:t>7. EXTRACT and STANDARDIZE Boundaries</w:t>
      </w:r>
    </w:p>
    <w:p>
      <w:pPr>
        <w:pStyle w:val="Heading2"/>
      </w:pPr>
      <w:r>
        <w:t>7.1 EXTRACT</w:t>
      </w:r>
    </w:p>
    <w:p>
      <w:pPr>
        <w:pStyle w:val="ListBullet"/>
      </w:pPr>
      <w:r>
        <w:t>Consumes understood and policy-governed document context.</w:t>
      </w:r>
    </w:p>
    <w:p>
      <w:pPr>
        <w:pStyle w:val="ListBullet"/>
      </w:pPr>
      <w:r>
        <w:t>Owns detailed clinical facts, diagnoses/findings, exact values, measurements, dates, recommendations, and domain-specific structured output.</w:t>
      </w:r>
    </w:p>
    <w:p>
      <w:pPr>
        <w:pStyle w:val="ListBullet"/>
      </w:pPr>
      <w:r>
        <w:t>Preserves per-field source provenance, confidence, and extraction-review requirement.</w:t>
      </w:r>
    </w:p>
    <w:p>
      <w:pPr>
        <w:pStyle w:val="ListBullet"/>
      </w:pPr>
      <w:r>
        <w:t>Inherits document identity from UNDERSTAND and does not run a competing authoritative classifier.</w:t>
      </w:r>
    </w:p>
    <w:p>
      <w:pPr>
        <w:pStyle w:val="ListBullet"/>
      </w:pPr>
      <w:r>
        <w:t>Remains terminology-independent.</w:t>
      </w:r>
    </w:p>
    <w:p>
      <w:pPr>
        <w:pStyle w:val="Heading2"/>
      </w:pPr>
      <w:r>
        <w:t>7.2 STANDARDIZE</w:t>
      </w:r>
    </w:p>
    <w:p>
      <w:pPr>
        <w:pStyle w:val="ListBullet"/>
      </w:pPr>
      <w:r>
        <w:t>Owns terminology/code-system mapping, mapping status, terminology version/provenance, units, and coded representations.</w:t>
      </w:r>
    </w:p>
    <w:p>
      <w:pPr>
        <w:pStyle w:val="ListBullet"/>
      </w:pPr>
      <w:r>
        <w:t>Mapping failure must not erase extracted facts or alter extraction recognition/confidence.</w:t>
      </w:r>
    </w:p>
    <w:p>
      <w:pPr>
        <w:pStyle w:val="ListBullet"/>
      </w:pPr>
      <w:r>
        <w:t>External identifiers remain mappings and never replace stable MedNexus field or concept identities.</w:t>
      </w:r>
    </w:p>
    <w:p>
      <w:pPr>
        <w:pStyle w:val="Heading1"/>
      </w:pPr>
      <w:r>
        <w:t>8. Cross-Stage Handoffs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8"/>
        <w:gridCol w:w="2048"/>
        <w:gridCol w:w="5984"/>
      </w:tblGrid>
      <w:tr>
        <w:trPr>
          <w:tblHeader w:val="true"/>
        </w:trP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To</w:t>
            </w:r>
          </w:p>
        </w:tc>
        <w:tc>
          <w:tcPr>
            <w:tcW w:type="dxa" w:w="5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Authoritative handoff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UNDERSTAND</w:t>
            </w:r>
          </w:p>
        </w:tc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PROTECT</w:t>
            </w:r>
          </w:p>
        </w:tc>
        <w:tc>
          <w:tcPr>
            <w:tcW w:type="dxa" w:w="5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MedNexusDocumentContext plus original DocumentContent/provenance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PROTECT</w:t>
            </w:r>
          </w:p>
        </w:tc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EXTRACT</w:t>
            </w:r>
          </w:p>
        </w:tc>
        <w:tc>
          <w:tcPr>
            <w:tcW w:type="dxa" w:w="5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Governed protected document/access decision; future ProtectionContext when implemented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EXTRACT</w:t>
            </w:r>
          </w:p>
        </w:tc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STANDARDIZE</w:t>
            </w:r>
          </w:p>
        </w:tc>
        <w:tc>
          <w:tcPr>
            <w:tcW w:type="dxa" w:w="5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Terminology-independent facts with per-field provenance/confidence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STANDARDIZE</w:t>
            </w:r>
          </w:p>
        </w:tc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ANALYZE</w:t>
            </w:r>
          </w:p>
        </w:tc>
        <w:tc>
          <w:tcPr>
            <w:tcW w:type="dxa" w:w="59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Governed structured facts plus terminology mappings and provenance</w:t>
            </w:r>
          </w:p>
        </w:tc>
      </w:tr>
    </w:tbl>
    <w:p>
      <w:pPr>
        <w:spacing w:after="0"/>
      </w:pPr>
    </w:p>
    <w:p>
      <w:pPr/>
      <w:r>
        <w:t>Document review and extraction review remain separate signals with independent provenance. A UI may show a combined notice but cannot collapse the underlying architecture.</w:t>
      </w:r>
    </w:p>
    <w:p>
      <w:pPr>
        <w:pStyle w:val="Heading1"/>
      </w:pPr>
      <w:r>
        <w:t>9. Parallel Development Ownership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65"/>
        <w:gridCol w:w="6615"/>
      </w:tblGrid>
      <w:tr>
        <w:trPr>
          <w:tblHeader w:val="true"/>
        </w:trPr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Track</w:t>
            </w:r>
          </w:p>
        </w:tc>
        <w:tc>
          <w:tcPr>
            <w:tcW w:type="dxa" w:w="66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Current ownership</w:t>
            </w:r>
          </w:p>
        </w:tc>
      </w:tr>
      <w:tr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MedNexus Main / Codex</w:t>
            </w:r>
          </w:p>
        </w:tc>
        <w:tc>
          <w:tcPr>
            <w:tcW w:type="dxa" w:w="66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UNDERSTAND; PROTECT; shared platform/core contracts; core semantic foundations</w:t>
            </w:r>
          </w:p>
        </w:tc>
      </w:tr>
      <w:tr>
        <w:tc>
          <w:tcPr>
            <w:tcW w:type="dxa" w:w="346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Claude / Claude Code Domain Intelligence</w:t>
            </w:r>
          </w:p>
        </w:tc>
        <w:tc>
          <w:tcPr>
            <w:tcW w:type="dxa" w:w="661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Domain-specific EXTRACT; domain STANDARDIZE implementation; ANALYZE; VISUALIZE; INDICATORS</w:t>
            </w:r>
          </w:p>
        </w:tc>
      </w:tr>
    </w:tbl>
    <w:p>
      <w:pPr>
        <w:spacing w:after="0"/>
      </w:pPr>
    </w:p>
    <w:p>
      <w:pPr/>
      <w:r>
        <w:t>Public Health remains the current downstream reference vertical. Radiology extraction is expected to become a future Domain Intelligence vertical after the Radiology UNDERSTAND contract is stabilized.</w:t>
      </w:r>
    </w:p>
    <w:p>
      <w:pPr/>
      <w:r>
        <w:t>A Cross-Track Sync Brief is required when shared architecture/contracts change, either track reaches a stable checkpoint, a cross-track dependency or impact appears, or before an Integrated Domain Checkpoint. Routine internal changes without shared-contract impact do not require a brief.</w:t>
      </w:r>
    </w:p>
    <w:p>
      <w:pPr>
        <w:pStyle w:val="Heading1"/>
      </w:pPr>
      <w:r>
        <w:t>10. Current Implementation State and Migration</w:t>
      </w:r>
    </w:p>
    <w:p>
      <w:pPr/>
      <w:r>
        <w:t>The latest verified accumulated working-tree regression is 818 passed, 8 warnings, and 0 failures. The latest accepted Core checkpoint remains 780 passed, 8 warnings, and 0 failures at 53a988cafd23e514b31d85e240688a6d0c3b1b31. These are engineering baselines, not production or clinical certification.</w:t>
      </w:r>
    </w:p>
    <w:p>
      <w:pPr>
        <w:pStyle w:val="Heading2"/>
      </w:pPr>
      <w:r>
        <w:t>10.1 Implemented foundations</w:t>
      </w:r>
    </w:p>
    <w:p>
      <w:pPr>
        <w:pStyle w:val="ListBullet"/>
      </w:pPr>
      <w:r>
        <w:t>TXT, DOCX, and text-based PDF ingestion into DocumentContent; OCR remains unimplemented.</w:t>
      </w:r>
    </w:p>
    <w:p>
      <w:pPr>
        <w:pStyle w:val="ListBullet"/>
      </w:pPr>
      <w:r>
        <w:t>Standalone UNDERSTAND APIs/workspace and same-document UNDERSTAND -&gt; PROTECT journey foundation.</w:t>
      </w:r>
    </w:p>
    <w:p>
      <w:pPr>
        <w:pStyle w:val="ListBullet"/>
      </w:pPr>
      <w:r>
        <w:t>MedNexusDocumentContext and Radiology typed context foundations with reference-driven compositional reasoning.</w:t>
      </w:r>
    </w:p>
    <w:p>
      <w:pPr>
        <w:pStyle w:val="ListBullet"/>
      </w:pPr>
      <w:r>
        <w:t>Offline governed LOINC, RadLex, and DICOM Radiology reference foundation.</w:t>
      </w:r>
    </w:p>
    <w:p>
      <w:pPr>
        <w:pStyle w:val="ListBullet"/>
      </w:pPr>
      <w:r>
        <w:t>Accepted Phase 1 unified Clinical Privacy Policy Engine and MedNexus-owned protected output.</w:t>
      </w:r>
    </w:p>
    <w:p>
      <w:pPr>
        <w:pStyle w:val="Heading2"/>
      </w:pPr>
      <w:r>
        <w:t>10.2 Pending target migrations</w:t>
      </w:r>
    </w:p>
    <w:p>
      <w:pPr>
        <w:pStyle w:val="ListBullet"/>
      </w:pPr>
      <w:r>
        <w:t>Align the domain catalogue to RADIOLOGY, PUBLIC_HEALTH, LABORATORY, ADMISSION, DISCHARGE, ICU, and EMERGENCY.</w:t>
      </w:r>
    </w:p>
    <w:p>
      <w:pPr>
        <w:pStyle w:val="ListBullet"/>
      </w:pPr>
      <w:r>
        <w:t>Add consistent OTHER support and preserve UNKNOWN safety behavior.</w:t>
      </w:r>
    </w:p>
    <w:p>
      <w:pPr>
        <w:pStyle w:val="ListBullet"/>
      </w:pPr>
      <w:r>
        <w:t>Add ICU; split ADMISSION from DISCHARGE; demote compatibility PATHOLOGY to future.</w:t>
      </w:r>
    </w:p>
    <w:p>
      <w:pPr>
        <w:pStyle w:val="ListBullet"/>
      </w:pPr>
      <w:r>
        <w:t>Bound Radiology context to matrix-approved light metadata.</w:t>
      </w:r>
    </w:p>
    <w:p>
      <w:pPr>
        <w:pStyle w:val="ListBullet"/>
      </w:pPr>
      <w:r>
        <w:t>Add typed Public Health context and frozen subdomain families.</w:t>
      </w:r>
    </w:p>
    <w:p>
      <w:pPr>
        <w:pStyle w:val="ListBullet"/>
      </w:pPr>
      <w:r>
        <w:t>Preserve necessary legacy aliases, including compatibility DOPPLER, during additive migration.</w:t>
      </w:r>
    </w:p>
    <w:p>
      <w:pPr>
        <w:pStyle w:val="ListBullet"/>
      </w:pPr>
      <w:r>
        <w:t>Replace parallel flat/typed semantic calculation with one canonical typed source plus compatibility serialization.</w:t>
      </w:r>
    </w:p>
    <w:p>
      <w:pPr/>
      <w:r>
        <w:t>No production code migration is performed by this documentation package.</w:t>
      </w:r>
    </w:p>
    <w:p>
      <w:pPr>
        <w:pStyle w:val="Heading1"/>
      </w:pPr>
      <w:r>
        <w:t>11. Validation and Governance</w:t>
      </w:r>
    </w:p>
    <w:p>
      <w:pPr>
        <w:pStyle w:val="ListBullet"/>
      </w:pPr>
      <w:r>
        <w:t>Focused tests precede full regression for implementation changes; documentation-only changes do not require pytest.</w:t>
      </w:r>
    </w:p>
    <w:p>
      <w:pPr>
        <w:pStyle w:val="ListBullet"/>
      </w:pPr>
      <w:r>
        <w:t>Real validation failures must improve reusable reference coverage, normalization, context, or reasoning—not report memorization.</w:t>
      </w:r>
    </w:p>
    <w:p>
      <w:pPr>
        <w:pStyle w:val="ListBullet"/>
      </w:pPr>
      <w:r>
        <w:t>Validation documents are not production knowledge sources.</w:t>
      </w:r>
    </w:p>
    <w:p>
      <w:pPr>
        <w:pStyle w:val="ListBullet"/>
      </w:pPr>
      <w:r>
        <w:t>External reference licensing, version, checksum, provenance, distribution, and activation state remain explicit.</w:t>
      </w:r>
    </w:p>
    <w:p>
      <w:pPr>
        <w:pStyle w:val="ListBullet"/>
      </w:pPr>
      <w:r>
        <w:t>Documentation synchronization is mandatory after meaningful checkpoints.</w:t>
      </w:r>
    </w:p>
    <w:p>
      <w:pPr>
        <w:pStyle w:val="ListBullet"/>
      </w:pPr>
      <w:r>
        <w:t>Architecture status, implementation status, validation status, and production readiness remain separate claims.</w:t>
      </w:r>
    </w:p>
    <w:p>
      <w:pPr>
        <w:pStyle w:val="Heading1"/>
      </w:pPr>
      <w:r>
        <w:t>12. Locked Architecture Decisions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8"/>
        <w:gridCol w:w="8032"/>
      </w:tblGrid>
      <w:tr>
        <w:trPr>
          <w:tblHeader w:val="true"/>
        </w:trP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8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768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>Locked direction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AD-20-01</w:t>
            </w:r>
          </w:p>
        </w:tc>
        <w:tc>
          <w:tcPr>
            <w:tcW w:type="dxa" w:w="8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MEDNEXUS7 is the authoritative public journey; INGEST is internal to UNDERSTAND.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AD-20-02</w:t>
            </w:r>
          </w:p>
        </w:tc>
        <w:tc>
          <w:tcPr>
            <w:tcW w:type="dxa" w:w="8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UNDERSTAND is a Reference-Driven Document Context Layer, not a mini-extractor.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AD-20-03</w:t>
            </w:r>
          </w:p>
        </w:tc>
        <w:tc>
          <w:tcPr>
            <w:tcW w:type="dxa" w:w="8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The frozen Domain Matrix v1.0 governs domain, subdomain/family, bounded context, and OTHER/UNKNOWN.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AD-20-04</w:t>
            </w:r>
          </w:p>
        </w:tc>
        <w:tc>
          <w:tcPr>
            <w:tcW w:type="dxa" w:w="8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Radiology and Public Health are P0/full priorities; Laboratory, Admission, Discharge, ICU, and Emergency are P1/catalogue only; Pathology is future.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AD-20-05</w:t>
            </w:r>
          </w:p>
        </w:tc>
        <w:tc>
          <w:tcPr>
            <w:tcW w:type="dxa" w:w="8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Document domain and consuming workflow are separate; Public Health consumption never relabels a Laboratory document.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AD-20-06</w:t>
            </w:r>
          </w:p>
        </w:tc>
        <w:tc>
          <w:tcPr>
            <w:tcW w:type="dxa" w:w="8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Native immunization/vaccination documents use PUBLIC_HEALTH / IMMUNIZATION in current product scope.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AD-20-07</w:t>
            </w:r>
          </w:p>
        </w:tc>
        <w:tc>
          <w:tcPr>
            <w:tcW w:type="dxa" w:w="8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NUCLEAR_MEDICINE families are PLANAR, SPECT, PET, SPECT_CT, PET_CT, and OTHER.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AD-20-08</w:t>
            </w:r>
          </w:p>
        </w:tc>
        <w:tc>
          <w:tcPr>
            <w:tcW w:type="dxa" w:w="8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Diagnostic Fluoroscopy is RADIOLOGY / FLUOROSCOPY; image-guided intervention remains RADIOLOGY / OTHER until designed.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AD-20-09</w:t>
            </w:r>
          </w:p>
        </w:tc>
        <w:tc>
          <w:tcPr>
            <w:tcW w:type="dxa" w:w="8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Laboratory-derived Surveillance requires native Public Health surveillance identity plus laboratory-derived context.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AD-20-10</w:t>
            </w:r>
          </w:p>
        </w:tc>
        <w:tc>
          <w:tcPr>
            <w:tcW w:type="dxa" w:w="8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EXTRACT owns detailed facts and remains terminology-independent; STANDARDIZE owns terminology mapping.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AD-20-11</w:t>
            </w:r>
          </w:p>
        </w:tc>
        <w:tc>
          <w:tcPr>
            <w:tcW w:type="dxa" w:w="8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Main/Codex and Domain Intelligence retain the documented parallel ownership model and synchronization policy.</w:t>
            </w:r>
          </w:p>
        </w:tc>
      </w:tr>
      <w:tr>
        <w:tc>
          <w:tcPr>
            <w:tcW w:type="dxa" w:w="20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AD-20-12</w:t>
            </w:r>
          </w:p>
        </w:tc>
        <w:tc>
          <w:tcPr>
            <w:tcW w:type="dxa" w:w="8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3F8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8"/>
              </w:rPr>
              <w:t>Architecture authority does not claim implementation completion or production certification.</w:t>
            </w:r>
          </w:p>
        </w:tc>
      </w:tr>
    </w:tbl>
    <w:p>
      <w:pPr>
        <w:spacing w:after="0"/>
      </w:pPr>
    </w:p>
    <w:p>
      <w:pPr>
        <w:pStyle w:val="Heading1"/>
      </w:pPr>
      <w:r>
        <w:t>13. Authoritative Architecture Package</w:t>
      </w:r>
    </w:p>
    <w:p>
      <w:pPr>
        <w:pStyle w:val="ListBullet"/>
      </w:pPr>
      <w:r>
        <w:t>MedNexus UNDERSTAND Domain Matrix v1.0 — frozen domain/subdomain/context authority.</w:t>
      </w:r>
    </w:p>
    <w:p>
      <w:pPr>
        <w:pStyle w:val="ListBullet"/>
      </w:pPr>
      <w:r>
        <w:t>MedNexus Enterprise Architecture &amp; Engineering Blueprint v2.0 — current enterprise architecture authority.</w:t>
      </w:r>
    </w:p>
    <w:p>
      <w:pPr>
        <w:pStyle w:val="ListBullet"/>
      </w:pPr>
      <w:r>
        <w:t>MedNexus Architecture Crosswalk v2.0 — cross-stage/domain ownership map.</w:t>
      </w:r>
    </w:p>
    <w:p>
      <w:pPr>
        <w:pStyle w:val="ListBullet"/>
      </w:pPr>
      <w:r>
        <w:t>MedNexus Clinical Semantic Context Contract v0.2 — bounded UNDERSTAND output contract.</w:t>
      </w:r>
    </w:p>
    <w:p>
      <w:pPr>
        <w:pStyle w:val="ListBullet"/>
      </w:pPr>
      <w:r>
        <w:t>MedNexus Clinical Extraction Contract v0.2 — detailed-fact and terminology-independence contract.</w:t>
      </w:r>
    </w:p>
    <w:p>
      <w:pPr/>
      <w:r>
        <w:t>Blueprint v1.9, Architecture Crosswalk v1.1, Clinical Semantic Context Contract v0.1, and Clinical Extraction Contract v0.1 remain preserved historical authorities for their earlier checkpoints.</w:t>
      </w:r>
    </w:p>
    <w:sectPr w:rsidR="00ED0E0D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EBA89" w14:textId="77777777" w:rsidR="00620184" w:rsidRDefault="00620184">
      <w:pPr>
        <w:spacing w:after="0" w:line="240" w:lineRule="auto"/>
      </w:pPr>
      <w:r>
        <w:separator/>
      </w:r>
    </w:p>
  </w:endnote>
  <w:endnote w:type="continuationSeparator" w:id="0">
    <w:p w14:paraId="1F660129" w14:textId="77777777" w:rsidR="00620184" w:rsidRDefault="00620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FAF3B" w14:textId="77777777" w:rsidR="00632D2B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A76ED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AC41F" w14:textId="77777777" w:rsidR="00620184" w:rsidRDefault="00620184">
      <w:pPr>
        <w:spacing w:after="0" w:line="240" w:lineRule="auto"/>
      </w:pPr>
      <w:r>
        <w:separator/>
      </w:r>
    </w:p>
  </w:footnote>
  <w:footnote w:type="continuationSeparator" w:id="0">
    <w:p w14:paraId="44805CD6" w14:textId="77777777" w:rsidR="00620184" w:rsidRDefault="00620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03252" w14:textId="77777777" w:rsidR="00632D2B" w:rsidRDefault="00000000">
    <w:pPr>
      <w:pStyle w:val="Header"/>
      <w:jc w:val="right"/>
    </w:pPr>
    <w:r>
      <w:rPr>
        <w:color w:val="646464"/>
        <w:sz w:val="16"/>
      </w:rPr>
      <w:t>MedNexus | Enterprise Architecture &amp; Engineering Blueprint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3762229">
    <w:abstractNumId w:val="8"/>
  </w:num>
  <w:num w:numId="2" w16cid:durableId="912009534">
    <w:abstractNumId w:val="6"/>
  </w:num>
  <w:num w:numId="3" w16cid:durableId="1031031908">
    <w:abstractNumId w:val="5"/>
  </w:num>
  <w:num w:numId="4" w16cid:durableId="1638487130">
    <w:abstractNumId w:val="4"/>
  </w:num>
  <w:num w:numId="5" w16cid:durableId="1086456396">
    <w:abstractNumId w:val="7"/>
  </w:num>
  <w:num w:numId="6" w16cid:durableId="1142885360">
    <w:abstractNumId w:val="3"/>
  </w:num>
  <w:num w:numId="7" w16cid:durableId="989678920">
    <w:abstractNumId w:val="2"/>
  </w:num>
  <w:num w:numId="8" w16cid:durableId="1782605646">
    <w:abstractNumId w:val="1"/>
  </w:num>
  <w:num w:numId="9" w16cid:durableId="1867597778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93A"/>
    <w:rsid w:val="002777F9"/>
    <w:rsid w:val="0029639D"/>
    <w:rsid w:val="002C5828"/>
    <w:rsid w:val="003073BF"/>
    <w:rsid w:val="00326F90"/>
    <w:rsid w:val="003823FE"/>
    <w:rsid w:val="00403BE7"/>
    <w:rsid w:val="00417AC3"/>
    <w:rsid w:val="005B09E3"/>
    <w:rsid w:val="005F4A79"/>
    <w:rsid w:val="006137B3"/>
    <w:rsid w:val="00620184"/>
    <w:rsid w:val="00632D2B"/>
    <w:rsid w:val="006C2190"/>
    <w:rsid w:val="00804015"/>
    <w:rsid w:val="00A76ED2"/>
    <w:rsid w:val="00AA1D8D"/>
    <w:rsid w:val="00AE45BA"/>
    <w:rsid w:val="00B45ED4"/>
    <w:rsid w:val="00B47730"/>
    <w:rsid w:val="00B9043D"/>
    <w:rsid w:val="00BA074C"/>
    <w:rsid w:val="00C24CA7"/>
    <w:rsid w:val="00CB0664"/>
    <w:rsid w:val="00CC3F17"/>
    <w:rsid w:val="00D152C7"/>
    <w:rsid w:val="00D97980"/>
    <w:rsid w:val="00E46FA7"/>
    <w:rsid w:val="00ED0E0D"/>
    <w:rsid w:val="00F33B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92B02"/>
  <w14:defaultImageDpi w14:val="300"/>
  <w15:docId w15:val="{45A2A0C0-AA83-4B8F-8FD9-398A107E0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76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76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7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ueprintSubtitle">
    <w:name w:val="Blueprint Subtitle"/>
    <w:rPr>
      <w:rFonts w:ascii="Aptos" w:hAnsi="Aptos"/>
      <w:color w:val="465A78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23</Pages>
  <Words>5999</Words>
  <Characters>34200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MedNexus Enterprise Architecture &amp; Engineering Blueprint v2.0</dc:title>
  <dc:subject>Frozen UNDERSTAND v1 architecture package and MEDNEXUS7 target architecture</dc:subject>
  <dc:creator>python-docx</dc:creator>
  <cp:keywords/>
  <dc:description>FROZEN ARCHITECTURE AUTHORITY; successor to Blueprint v1.9; adopts frozen UNDERSTAND Domain Matrix v1.0</dc:description>
  <cp:lastModifiedBy>Sameh A.M. Elmasry</cp:lastModifiedBy>
  <cp:revision>15</cp:revision>
  <dcterms:created xsi:type="dcterms:W3CDTF">2013-12-23T23:15:00Z</dcterms:created>
  <dcterms:modified xsi:type="dcterms:W3CDTF">2026-08-02T07:33:00Z</dcterms:modified>
  <cp:category/>
</cp:coreProperties>
</file>